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1D1AD4" w:rsidRPr="00E818AB" w:rsidTr="00E818AB">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E818AB">
            <w:pPr>
              <w:pStyle w:val="Standard"/>
              <w:tabs>
                <w:tab w:val="center" w:pos="3894"/>
                <w:tab w:val="right" w:pos="8214"/>
              </w:tabs>
              <w:spacing w:after="0" w:line="240" w:lineRule="auto"/>
              <w:ind w:left="-426" w:firstLine="1419"/>
              <w:rPr>
                <w:i/>
                <w:lang w:eastAsia="el-GR"/>
              </w:rPr>
            </w:pPr>
          </w:p>
          <w:p w:rsidR="001D1AD4" w:rsidRPr="00E818AB" w:rsidRDefault="001D1AD4" w:rsidP="00E818AB">
            <w:pPr>
              <w:pStyle w:val="Standard"/>
              <w:snapToGrid w:val="0"/>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E818AB">
            <w:pPr>
              <w:pStyle w:val="Standard"/>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p>
        </w:tc>
      </w:tr>
      <w:tr w:rsidR="008C31B0" w:rsidRPr="00E818AB" w:rsidTr="00E818AB">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9947A2" w:rsidRDefault="003D4516" w:rsidP="009D2E68">
            <w:pPr>
              <w:keepNext/>
              <w:widowControl w:val="0"/>
              <w:numPr>
                <w:ilvl w:val="5"/>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9D2E68" w:rsidRPr="009D2E68" w:rsidRDefault="009947A2" w:rsidP="009D2E68">
            <w:pPr>
              <w:spacing w:line="276" w:lineRule="auto"/>
              <w:jc w:val="center"/>
              <w:rPr>
                <w:b/>
                <w:sz w:val="32"/>
                <w:szCs w:val="32"/>
              </w:rPr>
            </w:pPr>
            <w:r w:rsidRPr="009D2E68">
              <w:rPr>
                <w:rFonts w:ascii="Calibri" w:eastAsia="Times New Roman" w:hAnsi="Calibri" w:cs="Calibri"/>
                <w:b/>
                <w:bCs/>
                <w:spacing w:val="40"/>
                <w:kern w:val="1"/>
                <w:sz w:val="32"/>
                <w:szCs w:val="32"/>
                <w:u w:val="single"/>
                <w:lang w:eastAsia="zh-CN"/>
              </w:rPr>
              <w:t>ΠΑΡΑΡΤΗΜΑ Ι:</w:t>
            </w:r>
            <w:r w:rsidRPr="009D2E68">
              <w:rPr>
                <w:rFonts w:ascii="Calibri" w:eastAsia="Times New Roman" w:hAnsi="Calibri" w:cs="Calibri"/>
                <w:b/>
                <w:bCs/>
                <w:spacing w:val="40"/>
                <w:kern w:val="1"/>
                <w:sz w:val="32"/>
                <w:szCs w:val="32"/>
                <w:lang w:eastAsia="zh-CN"/>
              </w:rPr>
              <w:t xml:space="preserve"> ΑΝΑΛΥΤΙΚΗ ΠΕΡΙΓΡΑΦΗ ΦΥΣΙΚΟΥ ΑΝΤΙΚΕΙΜΕΝΟΥ ΤΗΣ ΣΥΜΒΑΣΗΣ</w:t>
            </w:r>
            <w:r w:rsidR="009D2E68" w:rsidRPr="009D2E68">
              <w:rPr>
                <w:b/>
                <w:sz w:val="32"/>
                <w:szCs w:val="32"/>
              </w:rPr>
              <w:t xml:space="preserve"> ΓΙΑ ΤΗ ΣΥΝΤΗΡΗΣΗ, ΤΗΝ ΑΝΑΓΟΜΩΣΗ ΚΑΙ ΤΟΝ ΕΛΕΓΧΟ ΚΑΤΑΛΛΗΛΟΤΗΤΑΣ ΤΩΝ ΦΟΡΗΤΩΝ ΠΥΡΟΣΒΕΣΤΙΚΩΝ ΜΕΣΩΝ ΟΛΩΝ ΤΩΝ ΚΤΙΡΙΩΝ ΣΤΑ ΟΠΟΙΑ ΣΤΕΓΑΖΟΝΤΑΙ ΟΙ ΥΠΗΡΕΣΙΕΣ ΤΗΣ ΒΟΥΛΗΣ ΤΩΝ ΕΛΛΗΝΩΝ, ΔΙΑ</w:t>
            </w:r>
            <w:r w:rsidR="009D2E68">
              <w:rPr>
                <w:b/>
                <w:sz w:val="32"/>
                <w:szCs w:val="32"/>
              </w:rPr>
              <w:t>Ρ</w:t>
            </w:r>
            <w:r w:rsidR="009D2E68" w:rsidRPr="009D2E68">
              <w:rPr>
                <w:b/>
                <w:sz w:val="32"/>
                <w:szCs w:val="32"/>
              </w:rPr>
              <w:t>ΚΕΙΑΣ ΔΥΟ (2) ΕΤΩΝ</w:t>
            </w:r>
          </w:p>
          <w:p w:rsidR="003D4516" w:rsidRPr="009947A2" w:rsidRDefault="003D4516" w:rsidP="00A06E52">
            <w:pPr>
              <w:keepNext/>
              <w:widowControl w:val="0"/>
              <w:numPr>
                <w:ilvl w:val="7"/>
                <w:numId w:val="1"/>
              </w:numPr>
              <w:suppressAutoHyphens/>
              <w:spacing w:after="0" w:line="240" w:lineRule="auto"/>
              <w:ind w:left="132" w:firstLine="0"/>
              <w:jc w:val="center"/>
              <w:textAlignment w:val="baseline"/>
              <w:rPr>
                <w:rFonts w:ascii="Calibri" w:eastAsia="Times New Roman" w:hAnsi="Calibri" w:cs="Calibri"/>
                <w:b/>
                <w:bCs/>
                <w:spacing w:val="40"/>
                <w:kern w:val="1"/>
                <w:sz w:val="32"/>
                <w:szCs w:val="32"/>
                <w:lang w:eastAsia="zh-CN"/>
              </w:rPr>
            </w:pPr>
          </w:p>
          <w:p w:rsidR="008C31B0" w:rsidRPr="009947A2" w:rsidRDefault="008C31B0" w:rsidP="00E818AB">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8C31B0" w:rsidRPr="009947A2" w:rsidRDefault="008C31B0" w:rsidP="009D2E68">
            <w:pPr>
              <w:widowControl w:val="0"/>
              <w:numPr>
                <w:ilvl w:val="7"/>
                <w:numId w:val="1"/>
              </w:numPr>
              <w:suppressAutoHyphens/>
              <w:spacing w:after="0" w:line="240" w:lineRule="auto"/>
              <w:textAlignment w:val="baseline"/>
              <w:rPr>
                <w:rFonts w:ascii="Calibri" w:eastAsia="Times New Roman" w:hAnsi="Calibri" w:cs="Calibri"/>
                <w:b/>
                <w:bCs/>
                <w:spacing w:val="40"/>
                <w:kern w:val="1"/>
                <w:sz w:val="32"/>
                <w:szCs w:val="32"/>
                <w:lang w:eastAsia="zh-CN"/>
              </w:rPr>
            </w:pPr>
          </w:p>
        </w:tc>
      </w:tr>
      <w:tr w:rsidR="008C31B0" w:rsidRPr="00E818AB" w:rsidTr="00E818AB">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snapToGrid w:val="0"/>
              <w:spacing w:after="0" w:line="240" w:lineRule="auto"/>
              <w:ind w:firstLine="0"/>
              <w:jc w:val="center"/>
              <w:rPr>
                <w:b/>
                <w:i/>
                <w:sz w:val="24"/>
                <w:szCs w:val="24"/>
              </w:rPr>
            </w:pPr>
          </w:p>
          <w:p w:rsidR="008C31B0" w:rsidRPr="00E818AB" w:rsidRDefault="008C31B0" w:rsidP="003D4516">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3D4516" w:rsidRPr="00923D64" w:rsidRDefault="00737D67" w:rsidP="003D4516">
            <w:pPr>
              <w:pStyle w:val="Standard"/>
              <w:spacing w:after="0" w:line="240" w:lineRule="auto"/>
              <w:ind w:firstLine="0"/>
              <w:jc w:val="center"/>
              <w:rPr>
                <w:b/>
                <w:color w:val="auto"/>
              </w:rPr>
            </w:pPr>
            <w:r>
              <w:rPr>
                <w:b/>
                <w:bCs/>
                <w:color w:val="auto"/>
                <w:sz w:val="24"/>
                <w:szCs w:val="24"/>
              </w:rPr>
              <w:t>45343100-4/002</w:t>
            </w:r>
          </w:p>
          <w:p w:rsidR="008C31B0" w:rsidRPr="00E818AB" w:rsidRDefault="003D4516" w:rsidP="00737D67">
            <w:pPr>
              <w:pStyle w:val="Standard"/>
              <w:spacing w:after="0" w:line="240" w:lineRule="auto"/>
              <w:ind w:firstLine="0"/>
              <w:jc w:val="center"/>
              <w:rPr>
                <w:i/>
              </w:rPr>
            </w:pPr>
            <w:r w:rsidRPr="00923D64">
              <w:rPr>
                <w:bCs/>
                <w:i/>
                <w:color w:val="auto"/>
                <w:sz w:val="24"/>
                <w:szCs w:val="24"/>
              </w:rPr>
              <w:t xml:space="preserve">(Εργασίες </w:t>
            </w:r>
            <w:r w:rsidR="00737D67">
              <w:rPr>
                <w:bCs/>
                <w:i/>
                <w:color w:val="auto"/>
                <w:sz w:val="24"/>
                <w:szCs w:val="24"/>
              </w:rPr>
              <w:t>συντήρησης, αναγόμωσης και ελέγχου πυροσβεστικών μέσων</w:t>
            </w:r>
            <w:r w:rsidRPr="00923D64">
              <w:rPr>
                <w:bCs/>
                <w:i/>
                <w:color w:val="auto"/>
                <w:sz w:val="24"/>
                <w:szCs w:val="24"/>
              </w:rPr>
              <w:t>)</w:t>
            </w:r>
          </w:p>
        </w:tc>
      </w:tr>
      <w:tr w:rsidR="008C31B0" w:rsidRPr="00E818AB" w:rsidTr="00E818AB">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8C31B0" w:rsidRPr="00E818AB" w:rsidRDefault="008C31B0" w:rsidP="00E818AB">
            <w:pPr>
              <w:pStyle w:val="Standard"/>
              <w:spacing w:after="0" w:line="240" w:lineRule="auto"/>
              <w:ind w:firstLine="0"/>
              <w:jc w:val="center"/>
              <w:rPr>
                <w:rFonts w:ascii="Times New Roman" w:hAnsi="Times New Roman" w:cs="Times New Roman"/>
                <w:i/>
                <w:color w:val="auto"/>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7A685B" w:rsidRDefault="00E818AB" w:rsidP="00E818AB">
            <w:pPr>
              <w:pStyle w:val="Standard"/>
              <w:suppressAutoHyphens w:val="0"/>
              <w:overflowPunct w:val="0"/>
              <w:spacing w:after="0" w:line="240" w:lineRule="auto"/>
              <w:ind w:left="36" w:firstLine="0"/>
              <w:jc w:val="center"/>
              <w:rPr>
                <w:b/>
                <w:bCs/>
                <w:i/>
                <w:color w:val="FF0000"/>
                <w:sz w:val="24"/>
                <w:szCs w:val="24"/>
                <w:shd w:val="clear" w:color="auto" w:fill="FFFFFF"/>
              </w:rPr>
            </w:pPr>
          </w:p>
          <w:p w:rsidR="003D4516" w:rsidRPr="00AB0ED9" w:rsidRDefault="003D4516" w:rsidP="003D4516">
            <w:pPr>
              <w:pStyle w:val="Standard"/>
              <w:suppressAutoHyphens w:val="0"/>
              <w:overflowPunct w:val="0"/>
              <w:spacing w:after="0" w:line="240" w:lineRule="auto"/>
              <w:ind w:left="36" w:firstLine="0"/>
              <w:jc w:val="center"/>
              <w:rPr>
                <w:b/>
                <w:i/>
                <w:color w:val="auto"/>
                <w:sz w:val="24"/>
                <w:szCs w:val="24"/>
              </w:rPr>
            </w:pPr>
            <w:r w:rsidRPr="00AB0ED9">
              <w:rPr>
                <w:b/>
                <w:bCs/>
                <w:i/>
                <w:color w:val="auto"/>
                <w:sz w:val="24"/>
                <w:szCs w:val="24"/>
                <w:shd w:val="clear" w:color="auto" w:fill="FFFFFF"/>
              </w:rPr>
              <w:t xml:space="preserve">Συνολική εκτιμώμενη αξία της σύμβασης είκοσι </w:t>
            </w:r>
            <w:r w:rsidR="009D2E68">
              <w:rPr>
                <w:b/>
                <w:bCs/>
                <w:i/>
                <w:color w:val="auto"/>
                <w:sz w:val="24"/>
                <w:szCs w:val="24"/>
                <w:shd w:val="clear" w:color="auto" w:fill="FFFFFF"/>
              </w:rPr>
              <w:t xml:space="preserve">μία </w:t>
            </w:r>
            <w:r w:rsidRPr="00AB0ED9">
              <w:rPr>
                <w:b/>
                <w:bCs/>
                <w:i/>
                <w:color w:val="auto"/>
                <w:sz w:val="24"/>
                <w:szCs w:val="24"/>
                <w:shd w:val="clear" w:color="auto" w:fill="FFFFFF"/>
              </w:rPr>
              <w:t xml:space="preserve">χιλιάδες </w:t>
            </w:r>
            <w:r w:rsidR="009D2E68">
              <w:rPr>
                <w:b/>
                <w:bCs/>
                <w:i/>
                <w:color w:val="auto"/>
                <w:sz w:val="24"/>
                <w:szCs w:val="24"/>
                <w:shd w:val="clear" w:color="auto" w:fill="FFFFFF"/>
              </w:rPr>
              <w:t>εξακόσια ευρ</w:t>
            </w:r>
            <w:r w:rsidRPr="00AB0ED9">
              <w:rPr>
                <w:b/>
                <w:bCs/>
                <w:i/>
                <w:color w:val="auto"/>
                <w:sz w:val="24"/>
                <w:szCs w:val="24"/>
                <w:shd w:val="clear" w:color="auto" w:fill="FFFFFF"/>
              </w:rPr>
              <w:t>ώ (2</w:t>
            </w:r>
            <w:r w:rsidR="009D2E68">
              <w:rPr>
                <w:b/>
                <w:bCs/>
                <w:i/>
                <w:color w:val="auto"/>
                <w:sz w:val="24"/>
                <w:szCs w:val="24"/>
                <w:shd w:val="clear" w:color="auto" w:fill="FFFFFF"/>
              </w:rPr>
              <w:t>1</w:t>
            </w:r>
            <w:r w:rsidRPr="00AB0ED9">
              <w:rPr>
                <w:b/>
                <w:bCs/>
                <w:i/>
                <w:color w:val="auto"/>
                <w:sz w:val="24"/>
                <w:szCs w:val="24"/>
                <w:shd w:val="clear" w:color="auto" w:fill="FFFFFF"/>
              </w:rPr>
              <w:t>.</w:t>
            </w:r>
            <w:r w:rsidR="009D2E68">
              <w:rPr>
                <w:b/>
                <w:bCs/>
                <w:i/>
                <w:color w:val="auto"/>
                <w:sz w:val="24"/>
                <w:szCs w:val="24"/>
                <w:shd w:val="clear" w:color="auto" w:fill="FFFFFF"/>
              </w:rPr>
              <w:t>6</w:t>
            </w:r>
            <w:r w:rsidRPr="00AB0ED9">
              <w:rPr>
                <w:b/>
                <w:bCs/>
                <w:i/>
                <w:color w:val="auto"/>
                <w:sz w:val="24"/>
                <w:szCs w:val="24"/>
                <w:shd w:val="clear" w:color="auto" w:fill="FFFFFF"/>
              </w:rPr>
              <w:t>00,00 €), πλέον ΦΠΑ 24%</w:t>
            </w:r>
          </w:p>
          <w:p w:rsidR="008C31B0" w:rsidRPr="00E818AB" w:rsidRDefault="008C31B0" w:rsidP="00E818AB">
            <w:pPr>
              <w:pStyle w:val="Standard"/>
              <w:spacing w:after="0" w:line="240" w:lineRule="auto"/>
              <w:ind w:left="36" w:firstLine="0"/>
              <w:jc w:val="center"/>
              <w:rPr>
                <w:bCs/>
                <w:i/>
                <w:iCs/>
                <w:color w:val="FF0000"/>
                <w:sz w:val="20"/>
                <w:szCs w:val="20"/>
                <w:lang w:eastAsia="ar-SA"/>
              </w:rPr>
            </w:pPr>
          </w:p>
          <w:p w:rsidR="008C31B0" w:rsidRPr="00E818AB" w:rsidRDefault="008C31B0" w:rsidP="00E818AB">
            <w:pPr>
              <w:pStyle w:val="Standard"/>
              <w:spacing w:after="0" w:line="240" w:lineRule="auto"/>
              <w:ind w:left="36" w:firstLine="0"/>
              <w:jc w:val="center"/>
              <w:rPr>
                <w:i/>
                <w:color w:val="FF0000"/>
                <w:sz w:val="20"/>
                <w:szCs w:val="20"/>
              </w:rPr>
            </w:pPr>
          </w:p>
        </w:tc>
      </w:tr>
      <w:tr w:rsidR="00ED7687" w:rsidRPr="00E818AB" w:rsidTr="00E818AB">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D7687" w:rsidRPr="00E818AB" w:rsidRDefault="00ED7687" w:rsidP="00E818AB">
            <w:pPr>
              <w:pStyle w:val="Standard"/>
              <w:spacing w:after="0" w:line="240" w:lineRule="auto"/>
              <w:ind w:firstLine="0"/>
              <w:jc w:val="center"/>
              <w:rPr>
                <w:b/>
                <w:i/>
                <w:sz w:val="24"/>
                <w:szCs w:val="24"/>
                <w:lang w:eastAsia="ar-SA"/>
              </w:rPr>
            </w:pPr>
          </w:p>
          <w:p w:rsidR="00ED7687" w:rsidRPr="00E818AB" w:rsidRDefault="00ED7687" w:rsidP="007A685B">
            <w:pPr>
              <w:pStyle w:val="Standard"/>
              <w:spacing w:after="0" w:line="240" w:lineRule="auto"/>
              <w:ind w:firstLine="0"/>
              <w:jc w:val="center"/>
              <w:rPr>
                <w:i/>
              </w:rPr>
            </w:pPr>
            <w:r w:rsidRPr="00E818AB">
              <w:rPr>
                <w:b/>
                <w:i/>
                <w:sz w:val="24"/>
                <w:szCs w:val="24"/>
                <w:lang w:eastAsia="ar-SA"/>
              </w:rPr>
              <w:t>ΑΡΙΘΜ</w:t>
            </w:r>
            <w:r w:rsidR="007A685B">
              <w:rPr>
                <w:b/>
                <w:i/>
                <w:sz w:val="24"/>
                <w:szCs w:val="24"/>
                <w:lang w:val="en-US" w:eastAsia="ar-SA"/>
              </w:rPr>
              <w:t xml:space="preserve">. </w:t>
            </w:r>
            <w:r w:rsidR="007A685B">
              <w:rPr>
                <w:b/>
                <w:i/>
                <w:sz w:val="24"/>
                <w:szCs w:val="24"/>
                <w:lang w:eastAsia="ar-SA"/>
              </w:rPr>
              <w:t>ΠΡΩΤ.</w:t>
            </w:r>
            <w:r w:rsidRPr="00E818AB">
              <w:rPr>
                <w:b/>
                <w:i/>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E818AB" w:rsidRDefault="007C0631" w:rsidP="003A124F">
            <w:pPr>
              <w:pStyle w:val="Standard"/>
              <w:spacing w:after="0" w:line="240" w:lineRule="auto"/>
              <w:ind w:firstLine="0"/>
              <w:jc w:val="center"/>
              <w:rPr>
                <w:b/>
                <w:i/>
                <w:color w:val="FF0000"/>
                <w:sz w:val="24"/>
                <w:szCs w:val="24"/>
              </w:rPr>
            </w:pPr>
            <w:r>
              <w:rPr>
                <w:b/>
                <w:i/>
                <w:sz w:val="24"/>
                <w:szCs w:val="24"/>
                <w:lang w:val="en-US"/>
              </w:rPr>
              <w:t xml:space="preserve">4392/2208/12.03.2019 – </w:t>
            </w:r>
            <w:r>
              <w:rPr>
                <w:b/>
                <w:i/>
                <w:sz w:val="24"/>
                <w:szCs w:val="24"/>
              </w:rPr>
              <w:t>ΑΔΑ:01-05ΟΤ</w:t>
            </w:r>
          </w:p>
        </w:tc>
      </w:tr>
      <w:tr w:rsidR="001D1AD4" w:rsidRPr="00E818AB" w:rsidTr="00E818AB">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E818AB">
            <w:pPr>
              <w:pStyle w:val="Standard"/>
              <w:spacing w:after="0" w:line="240" w:lineRule="auto"/>
              <w:ind w:firstLine="0"/>
              <w:jc w:val="center"/>
              <w:rPr>
                <w:i/>
                <w:sz w:val="24"/>
                <w:szCs w:val="24"/>
                <w:lang w:eastAsia="ar-SA"/>
              </w:rPr>
            </w:pPr>
          </w:p>
          <w:p w:rsidR="008C31B0" w:rsidRPr="00E818AB" w:rsidRDefault="008C31B0" w:rsidP="00E818AB">
            <w:pPr>
              <w:pStyle w:val="Standard"/>
              <w:spacing w:after="0" w:line="240" w:lineRule="auto"/>
              <w:ind w:firstLine="0"/>
              <w:jc w:val="center"/>
              <w:rPr>
                <w:i/>
                <w:color w:val="auto"/>
                <w:sz w:val="32"/>
                <w:szCs w:val="32"/>
                <w:lang w:eastAsia="ar-SA"/>
              </w:rPr>
            </w:pPr>
            <w:r w:rsidRPr="00E818AB">
              <w:rPr>
                <w:b/>
                <w:i/>
                <w:sz w:val="32"/>
                <w:szCs w:val="32"/>
              </w:rPr>
              <w:t>ΑΘΗΝΑ</w:t>
            </w:r>
            <w:r w:rsidR="006B350D">
              <w:rPr>
                <w:b/>
                <w:i/>
                <w:sz w:val="32"/>
                <w:szCs w:val="32"/>
                <w:lang w:val="en-US"/>
              </w:rPr>
              <w:t xml:space="preserve">, </w:t>
            </w:r>
            <w:r w:rsidR="007C0631">
              <w:rPr>
                <w:b/>
                <w:i/>
                <w:sz w:val="32"/>
                <w:szCs w:val="32"/>
                <w:lang w:val="en-US"/>
              </w:rPr>
              <w:t>12</w:t>
            </w:r>
            <w:r w:rsidR="00E818AB" w:rsidRPr="00CA39ED">
              <w:rPr>
                <w:b/>
                <w:i/>
                <w:color w:val="auto"/>
                <w:sz w:val="32"/>
                <w:szCs w:val="32"/>
                <w:lang w:val="en-US"/>
              </w:rPr>
              <w:t>/</w:t>
            </w:r>
            <w:r w:rsidR="006B350D">
              <w:rPr>
                <w:b/>
                <w:i/>
                <w:color w:val="auto"/>
                <w:sz w:val="32"/>
                <w:szCs w:val="32"/>
                <w:lang w:val="en-US"/>
              </w:rPr>
              <w:t>3</w:t>
            </w:r>
            <w:r w:rsidR="00E818AB" w:rsidRPr="00CA39ED">
              <w:rPr>
                <w:b/>
                <w:i/>
                <w:color w:val="auto"/>
                <w:sz w:val="32"/>
                <w:szCs w:val="32"/>
                <w:lang w:val="en-US"/>
              </w:rPr>
              <w:t>/</w:t>
            </w:r>
            <w:r w:rsidRPr="00CA39ED">
              <w:rPr>
                <w:b/>
                <w:i/>
                <w:color w:val="auto"/>
                <w:sz w:val="32"/>
                <w:szCs w:val="32"/>
              </w:rPr>
              <w:t>2019</w:t>
            </w:r>
          </w:p>
          <w:p w:rsidR="001D1AD4" w:rsidRPr="00E818AB" w:rsidRDefault="001D1AD4" w:rsidP="00E818AB">
            <w:pPr>
              <w:pStyle w:val="10"/>
              <w:spacing w:line="240" w:lineRule="auto"/>
              <w:jc w:val="center"/>
              <w:rPr>
                <w:i/>
                <w:sz w:val="24"/>
                <w:szCs w:val="24"/>
                <w:lang w:eastAsia="ar-SA"/>
              </w:rPr>
            </w:pPr>
          </w:p>
        </w:tc>
      </w:tr>
    </w:tbl>
    <w:p w:rsidR="00084FF4" w:rsidRPr="00E818AB" w:rsidRDefault="00084FF4" w:rsidP="001D1AD4">
      <w:pPr>
        <w:rPr>
          <w:i/>
          <w:lang w:val="en-US"/>
        </w:rPr>
      </w:pPr>
    </w:p>
    <w:p w:rsidR="00E818AB" w:rsidRPr="00E818AB" w:rsidRDefault="00E818AB" w:rsidP="001D1AD4">
      <w:pPr>
        <w:rPr>
          <w:i/>
          <w:lang w:val="en-US"/>
        </w:rPr>
      </w:pPr>
    </w:p>
    <w:p w:rsidR="00E818AB" w:rsidRPr="00E818AB" w:rsidRDefault="00E818AB" w:rsidP="001D1AD4">
      <w:pPr>
        <w:rPr>
          <w:i/>
          <w:lang w:val="en-US"/>
        </w:rPr>
      </w:pPr>
    </w:p>
    <w:p w:rsidR="00E818AB" w:rsidRPr="00E818AB" w:rsidRDefault="00E818AB" w:rsidP="001D1AD4">
      <w:pPr>
        <w:rPr>
          <w:lang w:val="en-US"/>
        </w:rPr>
      </w:pPr>
    </w:p>
    <w:p w:rsidR="005823E7" w:rsidRDefault="005823E7" w:rsidP="001D1AD4"/>
    <w:p w:rsidR="005823E7" w:rsidRDefault="005823E7" w:rsidP="001D1AD4"/>
    <w:p w:rsidR="005823E7" w:rsidRDefault="005823E7" w:rsidP="001D1AD4"/>
    <w:p w:rsidR="005823E7" w:rsidRDefault="005823E7" w:rsidP="001D1AD4"/>
    <w:p w:rsidR="005823E7" w:rsidRDefault="005823E7" w:rsidP="001D1AD4"/>
    <w:p w:rsidR="005823E7" w:rsidRDefault="005823E7" w:rsidP="001D1AD4"/>
    <w:sdt>
      <w:sdtPr>
        <w:rPr>
          <w:rFonts w:asciiTheme="minorHAnsi" w:eastAsiaTheme="minorHAnsi" w:hAnsiTheme="minorHAnsi" w:cstheme="minorBidi"/>
          <w:color w:val="auto"/>
          <w:sz w:val="22"/>
          <w:szCs w:val="22"/>
          <w:lang w:eastAsia="en-US"/>
        </w:rPr>
        <w:id w:val="-259687924"/>
        <w:docPartObj>
          <w:docPartGallery w:val="Table of Contents"/>
          <w:docPartUnique/>
        </w:docPartObj>
      </w:sdtPr>
      <w:sdtEndPr>
        <w:rPr>
          <w:b/>
          <w:bCs/>
        </w:rPr>
      </w:sdtEndPr>
      <w:sdtContent>
        <w:p w:rsidR="00FB75E1" w:rsidRDefault="00FB75E1">
          <w:pPr>
            <w:pStyle w:val="ad"/>
          </w:pPr>
          <w:r>
            <w:t>Περιεχόμενα</w:t>
          </w:r>
        </w:p>
        <w:p w:rsidR="00E84913" w:rsidRDefault="00FC12CF">
          <w:pPr>
            <w:pStyle w:val="23"/>
            <w:tabs>
              <w:tab w:val="right" w:leader="dot" w:pos="8296"/>
            </w:tabs>
            <w:rPr>
              <w:noProof/>
            </w:rPr>
          </w:pPr>
          <w:r>
            <w:rPr>
              <w:b/>
              <w:bCs/>
            </w:rPr>
            <w:fldChar w:fldCharType="begin"/>
          </w:r>
          <w:r w:rsidR="00FB75E1">
            <w:rPr>
              <w:b/>
              <w:bCs/>
            </w:rPr>
            <w:instrText xml:space="preserve"> TOC \o "1-3" \h \z \u </w:instrText>
          </w:r>
          <w:r>
            <w:rPr>
              <w:b/>
              <w:bCs/>
            </w:rPr>
            <w:fldChar w:fldCharType="separate"/>
          </w:r>
          <w:hyperlink w:anchor="_Toc2330662" w:history="1">
            <w:r w:rsidR="00E84913" w:rsidRPr="006C251A">
              <w:rPr>
                <w:rStyle w:val="-"/>
                <w:b/>
                <w:noProof/>
              </w:rPr>
              <w:t>ΠΑΡΑΡΤΗΜΑ Ι – Αναλυτική Περιγραφή Φυσικού Αντικειμένου της Σύμβασης</w:t>
            </w:r>
            <w:r w:rsidR="009D2E68">
              <w:rPr>
                <w:rStyle w:val="-"/>
                <w:b/>
                <w:noProof/>
              </w:rPr>
              <w:t xml:space="preserve"> ……. </w:t>
            </w:r>
            <w:r>
              <w:rPr>
                <w:noProof/>
                <w:webHidden/>
              </w:rPr>
              <w:fldChar w:fldCharType="begin"/>
            </w:r>
            <w:r w:rsidR="00E84913">
              <w:rPr>
                <w:noProof/>
                <w:webHidden/>
              </w:rPr>
              <w:instrText xml:space="preserve"> PAGEREF _Toc2330662 \h </w:instrText>
            </w:r>
            <w:r>
              <w:rPr>
                <w:noProof/>
                <w:webHidden/>
              </w:rPr>
            </w:r>
            <w:r>
              <w:rPr>
                <w:noProof/>
                <w:webHidden/>
              </w:rPr>
              <w:fldChar w:fldCharType="separate"/>
            </w:r>
            <w:r w:rsidR="000E4CF1">
              <w:rPr>
                <w:noProof/>
                <w:webHidden/>
              </w:rPr>
              <w:t>3</w:t>
            </w:r>
            <w:r>
              <w:rPr>
                <w:noProof/>
                <w:webHidden/>
              </w:rPr>
              <w:fldChar w:fldCharType="end"/>
            </w:r>
          </w:hyperlink>
        </w:p>
        <w:p w:rsidR="00B63CD9" w:rsidRPr="00B63CD9" w:rsidRDefault="00B63CD9" w:rsidP="00B63CD9"/>
        <w:p w:rsidR="00FB75E1" w:rsidRDefault="00FC12CF">
          <w:r>
            <w:rPr>
              <w:b/>
              <w:bCs/>
            </w:rPr>
            <w:fldChar w:fldCharType="end"/>
          </w:r>
        </w:p>
      </w:sdtContent>
    </w:sdt>
    <w:p w:rsidR="00B91A3C" w:rsidRDefault="00B91A3C">
      <w:pPr>
        <w:rPr>
          <w:rFonts w:ascii="Calibri" w:eastAsia="Times New Roman" w:hAnsi="Calibri" w:cs="Calibri"/>
          <w:b/>
          <w:bCs/>
          <w:color w:val="00000A"/>
          <w:kern w:val="1"/>
          <w:sz w:val="28"/>
          <w:szCs w:val="28"/>
          <w:u w:val="single"/>
          <w:lang w:eastAsia="ar-SA"/>
        </w:rPr>
      </w:pPr>
    </w:p>
    <w:p w:rsidR="00FB75E1" w:rsidRDefault="00FC12CF" w:rsidP="00FB75E1">
      <w:pPr>
        <w:pStyle w:val="12"/>
        <w:tabs>
          <w:tab w:val="left" w:pos="440"/>
          <w:tab w:val="right" w:leader="dot" w:pos="8296"/>
        </w:tabs>
        <w:rPr>
          <w:rFonts w:eastAsiaTheme="minorEastAsia"/>
          <w:noProof/>
          <w:lang w:eastAsia="el-GR"/>
        </w:rPr>
      </w:pPr>
      <w:r w:rsidRPr="00B91A3C">
        <w:rPr>
          <w:rFonts w:ascii="Calibri" w:eastAsia="Times New Roman" w:hAnsi="Calibri" w:cs="Calibri"/>
          <w:b/>
          <w:bCs/>
          <w:color w:val="00000A"/>
          <w:kern w:val="1"/>
          <w:sz w:val="28"/>
          <w:szCs w:val="28"/>
          <w:u w:val="single"/>
          <w:lang w:eastAsia="ar-SA"/>
        </w:rPr>
        <w:fldChar w:fldCharType="begin"/>
      </w:r>
      <w:r w:rsidR="00B91A3C" w:rsidRPr="00B91A3C">
        <w:rPr>
          <w:rFonts w:ascii="Calibri" w:eastAsia="Times New Roman" w:hAnsi="Calibri" w:cs="Calibri"/>
          <w:b/>
          <w:bCs/>
          <w:color w:val="00000A"/>
          <w:kern w:val="1"/>
          <w:sz w:val="28"/>
          <w:szCs w:val="28"/>
          <w:u w:val="single"/>
          <w:lang w:eastAsia="ar-SA"/>
        </w:rPr>
        <w:instrText xml:space="preserve"> TOC \o "1-3" \h \z \u </w:instrText>
      </w:r>
      <w:r w:rsidRPr="00B91A3C">
        <w:rPr>
          <w:rFonts w:ascii="Calibri" w:eastAsia="Times New Roman" w:hAnsi="Calibri" w:cs="Calibri"/>
          <w:b/>
          <w:bCs/>
          <w:color w:val="00000A"/>
          <w:kern w:val="1"/>
          <w:sz w:val="28"/>
          <w:szCs w:val="28"/>
          <w:u w:val="single"/>
          <w:lang w:eastAsia="ar-SA"/>
        </w:rPr>
        <w:fldChar w:fldCharType="separate"/>
      </w:r>
    </w:p>
    <w:p w:rsidR="00FB75E1" w:rsidRDefault="00FB75E1">
      <w:pPr>
        <w:pStyle w:val="23"/>
        <w:tabs>
          <w:tab w:val="right" w:leader="dot" w:pos="8296"/>
        </w:tabs>
        <w:rPr>
          <w:rFonts w:eastAsiaTheme="minorEastAsia"/>
          <w:noProof/>
          <w:lang w:eastAsia="el-GR"/>
        </w:rPr>
      </w:pPr>
    </w:p>
    <w:p w:rsidR="00DB68E2" w:rsidRDefault="00FC12CF" w:rsidP="00DB68E2">
      <w:pPr>
        <w:pageBreakBefore/>
        <w:overflowPunct w:val="0"/>
        <w:spacing w:after="0" w:line="240" w:lineRule="auto"/>
        <w:jc w:val="center"/>
        <w:textAlignment w:val="baseline"/>
        <w:rPr>
          <w:b/>
          <w:u w:val="single"/>
        </w:rPr>
      </w:pPr>
      <w:r w:rsidRPr="00B91A3C">
        <w:rPr>
          <w:rFonts w:ascii="Calibri" w:eastAsia="Times New Roman" w:hAnsi="Calibri" w:cs="Calibri"/>
          <w:b/>
          <w:bCs/>
          <w:color w:val="00000A"/>
          <w:kern w:val="1"/>
          <w:sz w:val="28"/>
          <w:szCs w:val="28"/>
          <w:u w:val="single"/>
          <w:lang w:eastAsia="ar-SA"/>
        </w:rPr>
        <w:lastRenderedPageBreak/>
        <w:fldChar w:fldCharType="end"/>
      </w:r>
      <w:r w:rsidR="002E2722" w:rsidRPr="00376445">
        <w:rPr>
          <w:sz w:val="24"/>
          <w:szCs w:val="24"/>
        </w:rPr>
        <w:t xml:space="preserve"> </w:t>
      </w:r>
      <w:bookmarkStart w:id="0" w:name="_Toc175164"/>
    </w:p>
    <w:p w:rsidR="00DB68E2" w:rsidRDefault="00DB68E2" w:rsidP="00184EC9">
      <w:pPr>
        <w:pStyle w:val="2"/>
        <w:tabs>
          <w:tab w:val="left" w:pos="0"/>
        </w:tabs>
        <w:spacing w:before="0" w:line="360" w:lineRule="auto"/>
        <w:jc w:val="both"/>
        <w:rPr>
          <w:b/>
          <w:u w:val="single"/>
        </w:rPr>
      </w:pPr>
    </w:p>
    <w:p w:rsidR="00F20DB8" w:rsidRDefault="00F20DB8" w:rsidP="00184EC9">
      <w:pPr>
        <w:pStyle w:val="2"/>
        <w:tabs>
          <w:tab w:val="left" w:pos="0"/>
        </w:tabs>
        <w:spacing w:before="0" w:line="360" w:lineRule="auto"/>
        <w:jc w:val="both"/>
        <w:rPr>
          <w:b/>
          <w:u w:val="single"/>
        </w:rPr>
      </w:pPr>
      <w:bookmarkStart w:id="1" w:name="_Toc2330662"/>
      <w:r w:rsidRPr="00184EC9">
        <w:rPr>
          <w:b/>
          <w:u w:val="single"/>
        </w:rPr>
        <w:t>ΠΑΡΑΡΤΗΜΑ Ι – Αναλυτική Περιγραφή Φυσικού Αντικειμένου της Σύμβασης</w:t>
      </w:r>
      <w:bookmarkEnd w:id="0"/>
      <w:bookmarkEnd w:id="1"/>
    </w:p>
    <w:p w:rsidR="009D2E68" w:rsidRDefault="009D2E68" w:rsidP="009D2E68"/>
    <w:p w:rsidR="009D2E68" w:rsidRPr="009D2E68" w:rsidRDefault="006A770D" w:rsidP="009D2E68">
      <w:pPr>
        <w:spacing w:after="26"/>
        <w:ind w:left="10" w:right="33" w:hanging="10"/>
        <w:jc w:val="center"/>
        <w:rPr>
          <w:rFonts w:asciiTheme="majorHAnsi" w:eastAsia="Times New Roman" w:hAnsiTheme="majorHAnsi" w:cs="Times New Roman"/>
          <w:color w:val="000000"/>
          <w:sz w:val="24"/>
          <w:lang w:eastAsia="el-GR"/>
        </w:rPr>
      </w:pPr>
      <w:r>
        <w:rPr>
          <w:rFonts w:asciiTheme="majorHAnsi" w:eastAsia="Times New Roman" w:hAnsiTheme="majorHAnsi" w:cs="Times New Roman"/>
          <w:b/>
          <w:color w:val="000000"/>
          <w:sz w:val="24"/>
          <w:lang w:eastAsia="el-GR"/>
        </w:rPr>
        <w:t>ΤΕΧΝΙΚΗ ΠΕΡΙΓΡΑΦ</w:t>
      </w:r>
      <w:r w:rsidR="009D2E68" w:rsidRPr="009D2E68">
        <w:rPr>
          <w:rFonts w:asciiTheme="majorHAnsi" w:eastAsia="Times New Roman" w:hAnsiTheme="majorHAnsi" w:cs="Times New Roman"/>
          <w:b/>
          <w:color w:val="000000"/>
          <w:sz w:val="24"/>
          <w:lang w:eastAsia="el-GR"/>
        </w:rPr>
        <w:t>Η ΓΙΑ ΤΗ ΔΙΕΤΗ ΣΥΝΤΗΡΗΣΗ</w:t>
      </w:r>
      <w:r w:rsidR="009D2E68">
        <w:rPr>
          <w:rFonts w:asciiTheme="majorHAnsi" w:eastAsia="Times New Roman" w:hAnsiTheme="majorHAnsi" w:cs="Times New Roman"/>
          <w:b/>
          <w:color w:val="000000"/>
          <w:sz w:val="24"/>
          <w:lang w:eastAsia="el-GR"/>
        </w:rPr>
        <w:t xml:space="preserve"> </w:t>
      </w:r>
      <w:r w:rsidR="009D2E68" w:rsidRPr="009D2E68">
        <w:rPr>
          <w:rFonts w:asciiTheme="majorHAnsi" w:eastAsia="Times New Roman" w:hAnsiTheme="majorHAnsi" w:cs="Times New Roman"/>
          <w:b/>
          <w:color w:val="000000"/>
          <w:sz w:val="24"/>
          <w:lang w:eastAsia="el-GR"/>
        </w:rPr>
        <w:t xml:space="preserve">- ΑΝΑΓΟΜΩΣΗ- </w:t>
      </w:r>
    </w:p>
    <w:p w:rsidR="009D2E68" w:rsidRPr="009D2E68" w:rsidRDefault="006A770D" w:rsidP="009D2E68">
      <w:pPr>
        <w:spacing w:after="0"/>
        <w:ind w:left="10" w:right="32" w:hanging="10"/>
        <w:jc w:val="center"/>
        <w:rPr>
          <w:rFonts w:asciiTheme="majorHAnsi" w:eastAsia="Times New Roman" w:hAnsiTheme="majorHAnsi" w:cs="Times New Roman"/>
          <w:color w:val="000000"/>
          <w:sz w:val="24"/>
          <w:lang w:eastAsia="el-GR"/>
        </w:rPr>
      </w:pPr>
      <w:r>
        <w:rPr>
          <w:rFonts w:asciiTheme="majorHAnsi" w:eastAsia="Times New Roman" w:hAnsiTheme="majorHAnsi" w:cs="Times New Roman"/>
          <w:b/>
          <w:color w:val="000000"/>
          <w:sz w:val="24"/>
          <w:lang w:eastAsia="el-GR"/>
        </w:rPr>
        <w:t>ΕΛ</w:t>
      </w:r>
      <w:r w:rsidR="009D2E68" w:rsidRPr="009D2E68">
        <w:rPr>
          <w:rFonts w:asciiTheme="majorHAnsi" w:eastAsia="Times New Roman" w:hAnsiTheme="majorHAnsi" w:cs="Times New Roman"/>
          <w:b/>
          <w:color w:val="000000"/>
          <w:sz w:val="24"/>
          <w:lang w:eastAsia="el-GR"/>
        </w:rPr>
        <w:t xml:space="preserve">ΕΓΧΟ ΦΟΡΗΤΩΝ ΠΥΡΟΣΒΕΣΤΙΚΩΝ ΜΕΣΩΝ </w:t>
      </w:r>
    </w:p>
    <w:p w:rsidR="009D2E68" w:rsidRPr="009D2E68" w:rsidRDefault="009D2E68" w:rsidP="009D2E68">
      <w:pPr>
        <w:spacing w:after="0"/>
        <w:ind w:left="26"/>
        <w:jc w:val="center"/>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b/>
          <w:color w:val="000000"/>
          <w:sz w:val="24"/>
          <w:lang w:eastAsia="el-GR"/>
        </w:rPr>
        <w:t xml:space="preserve"> </w:t>
      </w:r>
    </w:p>
    <w:p w:rsidR="009D2E68" w:rsidRPr="009D2E68" w:rsidRDefault="009D2E68" w:rsidP="009D2E68">
      <w:pPr>
        <w:spacing w:after="26"/>
        <w:ind w:left="26"/>
        <w:jc w:val="center"/>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b/>
          <w:color w:val="000000"/>
          <w:sz w:val="24"/>
          <w:lang w:eastAsia="el-GR"/>
        </w:rPr>
        <w:t xml:space="preserve"> </w:t>
      </w:r>
    </w:p>
    <w:p w:rsidR="009D2E68" w:rsidRPr="009D2E68" w:rsidRDefault="009D2E68" w:rsidP="009D2E68">
      <w:pPr>
        <w:keepNext/>
        <w:keepLines/>
        <w:spacing w:after="0"/>
        <w:ind w:left="24" w:hanging="10"/>
        <w:outlineLvl w:val="0"/>
        <w:rPr>
          <w:rFonts w:asciiTheme="majorHAnsi" w:eastAsia="Times New Roman" w:hAnsiTheme="majorHAnsi" w:cs="Times New Roman"/>
          <w:b/>
          <w:color w:val="000000"/>
          <w:sz w:val="24"/>
          <w:lang w:eastAsia="el-GR"/>
        </w:rPr>
      </w:pPr>
      <w:r w:rsidRPr="009D2E68">
        <w:rPr>
          <w:rFonts w:asciiTheme="majorHAnsi" w:eastAsia="Times New Roman" w:hAnsiTheme="majorHAnsi" w:cs="Times New Roman"/>
          <w:b/>
          <w:color w:val="000000"/>
          <w:sz w:val="24"/>
          <w:lang w:eastAsia="el-GR"/>
        </w:rPr>
        <w:t xml:space="preserve">1. Αντικείμενο </w:t>
      </w:r>
    </w:p>
    <w:p w:rsidR="009D2E68" w:rsidRPr="009D2E68" w:rsidRDefault="009D2E68" w:rsidP="009D2E68">
      <w:pPr>
        <w:spacing w:after="0"/>
        <w:ind w:left="2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15" w:line="267" w:lineRule="auto"/>
        <w:ind w:left="24"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Αντικείμενο της παρούσας είναι η συντήρηση, </w:t>
      </w:r>
      <w:r w:rsidR="006A770D">
        <w:rPr>
          <w:rFonts w:asciiTheme="majorHAnsi" w:eastAsia="Times New Roman" w:hAnsiTheme="majorHAnsi" w:cs="Times New Roman"/>
          <w:color w:val="000000"/>
          <w:sz w:val="24"/>
          <w:lang w:eastAsia="el-GR"/>
        </w:rPr>
        <w:t>αναγόμωση και έλεγχος καταλληλότ</w:t>
      </w:r>
      <w:bookmarkStart w:id="2" w:name="_GoBack"/>
      <w:bookmarkEnd w:id="2"/>
      <w:r w:rsidRPr="009D2E68">
        <w:rPr>
          <w:rFonts w:asciiTheme="majorHAnsi" w:eastAsia="Times New Roman" w:hAnsiTheme="majorHAnsi" w:cs="Times New Roman"/>
          <w:color w:val="000000"/>
          <w:sz w:val="24"/>
          <w:lang w:eastAsia="el-GR"/>
        </w:rPr>
        <w:t xml:space="preserve">ητας των φορητών πυροσβεστικών μέσων των κτιρίων που στεγάζονται υπηρεσίες της Βουλής των Ελλήνων διάρκειας δύο (2) ετών. </w:t>
      </w:r>
    </w:p>
    <w:p w:rsidR="009D2E68" w:rsidRPr="009D2E68" w:rsidRDefault="009D2E68" w:rsidP="009D2E68">
      <w:pPr>
        <w:spacing w:after="0"/>
        <w:ind w:left="2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20"/>
        <w:ind w:left="2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0"/>
        <w:ind w:left="24" w:hanging="10"/>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b/>
          <w:color w:val="000000"/>
          <w:sz w:val="24"/>
          <w:lang w:eastAsia="el-GR"/>
        </w:rPr>
        <w:t xml:space="preserve">2. Περιγραφή. </w:t>
      </w:r>
    </w:p>
    <w:p w:rsidR="009D2E68" w:rsidRPr="009D2E68" w:rsidRDefault="009D2E68" w:rsidP="009D2E68">
      <w:pPr>
        <w:spacing w:after="14"/>
        <w:ind w:left="2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b/>
          <w:color w:val="000000"/>
          <w:sz w:val="24"/>
          <w:lang w:eastAsia="el-GR"/>
        </w:rPr>
        <w:t xml:space="preserve"> </w:t>
      </w:r>
    </w:p>
    <w:p w:rsidR="009D2E68" w:rsidRPr="009D2E68" w:rsidRDefault="009D2E68" w:rsidP="009D2E68">
      <w:pPr>
        <w:spacing w:after="15" w:line="267" w:lineRule="auto"/>
        <w:ind w:left="24"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Σε όλα τα κτίρια της Βουλής χρησιμοποιούνται περίπου 1.500 πυροσβεστήρες.  Στην ανωτέρω ποσότητα περιλαμβάνονται και πυροσβεστήρες για τα υπηρεσιακά οχήματα.  </w:t>
      </w:r>
    </w:p>
    <w:p w:rsidR="009D2E68" w:rsidRPr="009D2E68" w:rsidRDefault="009D2E68" w:rsidP="009D2E68">
      <w:pPr>
        <w:spacing w:after="23"/>
        <w:ind w:left="2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15" w:line="267" w:lineRule="auto"/>
        <w:ind w:left="24"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Ως προς το είδος και τον τύπο υλικού γόμωσης τους διακρίνονται σε: </w:t>
      </w:r>
    </w:p>
    <w:p w:rsidR="009D2E68" w:rsidRPr="009D2E68" w:rsidRDefault="009D2E68" w:rsidP="009D2E68">
      <w:pPr>
        <w:spacing w:after="0"/>
        <w:ind w:left="2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15" w:line="267" w:lineRule="auto"/>
        <w:ind w:left="24"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α) Φορητοί ξηράς κόνεως 1Kg, 2Kg, 3Kg, 6Kg,12Kg  </w:t>
      </w:r>
    </w:p>
    <w:p w:rsidR="009D2E68" w:rsidRPr="009D2E68" w:rsidRDefault="009D2E68" w:rsidP="009D2E68">
      <w:pPr>
        <w:spacing w:after="15" w:line="267" w:lineRule="auto"/>
        <w:ind w:left="1119"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(1Kg και 2 Kg για τα οχήματα) </w:t>
      </w:r>
    </w:p>
    <w:p w:rsidR="009D2E68" w:rsidRPr="009D2E68" w:rsidRDefault="009D2E68" w:rsidP="009D2E68">
      <w:pPr>
        <w:spacing w:after="15" w:line="267" w:lineRule="auto"/>
        <w:ind w:left="24"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β) Τροχήλατοι και τοπικής εφαρμογής ξηράς κόνεως  25Kg  </w:t>
      </w:r>
    </w:p>
    <w:p w:rsidR="009D2E68" w:rsidRPr="009D2E68" w:rsidRDefault="009D2E68" w:rsidP="009D2E68">
      <w:pPr>
        <w:spacing w:after="15" w:line="267" w:lineRule="auto"/>
        <w:ind w:left="24"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γ) Οροφής (αυτοδιεγειρόμενοι) ξηράς κόνεως 12Kg </w:t>
      </w:r>
    </w:p>
    <w:p w:rsidR="009D2E68" w:rsidRPr="009D2E68" w:rsidRDefault="009D2E68" w:rsidP="009D2E68">
      <w:pPr>
        <w:spacing w:after="15" w:line="267" w:lineRule="auto"/>
        <w:ind w:left="24"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δ) Φορητοί CO</w:t>
      </w:r>
      <w:r w:rsidRPr="009D2E68">
        <w:rPr>
          <w:rFonts w:asciiTheme="majorHAnsi" w:eastAsia="Times New Roman" w:hAnsiTheme="majorHAnsi" w:cs="Times New Roman"/>
          <w:color w:val="000000"/>
          <w:sz w:val="16"/>
          <w:lang w:eastAsia="el-GR"/>
        </w:rPr>
        <w:t>2</w:t>
      </w:r>
      <w:r w:rsidRPr="009D2E68">
        <w:rPr>
          <w:rFonts w:asciiTheme="majorHAnsi" w:eastAsia="Times New Roman" w:hAnsiTheme="majorHAnsi" w:cs="Times New Roman"/>
          <w:color w:val="000000"/>
          <w:sz w:val="24"/>
          <w:lang w:eastAsia="el-GR"/>
        </w:rPr>
        <w:t xml:space="preserve"> (διοξειδίου του άνθρακα) 2Κg και 5Κg </w:t>
      </w:r>
    </w:p>
    <w:p w:rsidR="009D2E68" w:rsidRPr="009D2E68" w:rsidRDefault="009D2E68" w:rsidP="009D2E68">
      <w:pPr>
        <w:spacing w:after="15" w:line="267" w:lineRule="auto"/>
        <w:ind w:left="24"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ε) Τροχήλατοι CO</w:t>
      </w:r>
      <w:r w:rsidRPr="009D2E68">
        <w:rPr>
          <w:rFonts w:asciiTheme="majorHAnsi" w:eastAsia="Times New Roman" w:hAnsiTheme="majorHAnsi" w:cs="Times New Roman"/>
          <w:color w:val="000000"/>
          <w:sz w:val="16"/>
          <w:lang w:eastAsia="el-GR"/>
        </w:rPr>
        <w:t>2</w:t>
      </w:r>
      <w:r w:rsidRPr="009D2E68">
        <w:rPr>
          <w:rFonts w:asciiTheme="majorHAnsi" w:eastAsia="Times New Roman" w:hAnsiTheme="majorHAnsi" w:cs="Times New Roman"/>
          <w:color w:val="000000"/>
          <w:sz w:val="24"/>
          <w:lang w:eastAsia="el-GR"/>
        </w:rPr>
        <w:t xml:space="preserve"> (διοξειδίου του άνθρακα) 25Κg και 30Κg </w:t>
      </w:r>
    </w:p>
    <w:p w:rsidR="009D2E68" w:rsidRPr="009D2E68" w:rsidRDefault="009D2E68" w:rsidP="009D2E68">
      <w:pPr>
        <w:spacing w:after="0"/>
        <w:ind w:left="312"/>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0"/>
        <w:ind w:left="26"/>
        <w:jc w:val="center"/>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tbl>
      <w:tblPr>
        <w:tblStyle w:val="TableGrid"/>
        <w:tblW w:w="8291" w:type="dxa"/>
        <w:tblInd w:w="389" w:type="dxa"/>
        <w:tblCellMar>
          <w:top w:w="9" w:type="dxa"/>
          <w:left w:w="108" w:type="dxa"/>
          <w:bottom w:w="6" w:type="dxa"/>
          <w:right w:w="53" w:type="dxa"/>
        </w:tblCellMar>
        <w:tblLook w:val="04A0" w:firstRow="1" w:lastRow="0" w:firstColumn="1" w:lastColumn="0" w:noHBand="0" w:noVBand="1"/>
      </w:tblPr>
      <w:tblGrid>
        <w:gridCol w:w="578"/>
        <w:gridCol w:w="1837"/>
        <w:gridCol w:w="912"/>
        <w:gridCol w:w="1115"/>
        <w:gridCol w:w="1089"/>
        <w:gridCol w:w="1577"/>
        <w:gridCol w:w="1183"/>
      </w:tblGrid>
      <w:tr w:rsidR="009D2E68" w:rsidRPr="009D2E68" w:rsidTr="00140FBB">
        <w:trPr>
          <w:trHeight w:val="701"/>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Α/Α </w:t>
            </w:r>
          </w:p>
        </w:tc>
        <w:tc>
          <w:tcPr>
            <w:tcW w:w="1837" w:type="dxa"/>
            <w:tcBorders>
              <w:top w:val="single" w:sz="4" w:space="0" w:color="000000"/>
              <w:left w:val="single" w:sz="4" w:space="0" w:color="000000"/>
              <w:bottom w:val="single" w:sz="4" w:space="0" w:color="000000"/>
              <w:right w:val="nil"/>
            </w:tcBorders>
            <w:vAlign w:val="bottom"/>
          </w:tcPr>
          <w:p w:rsidR="009D2E68" w:rsidRPr="009D2E68" w:rsidRDefault="009D2E68" w:rsidP="009D2E68">
            <w:pPr>
              <w:spacing w:line="259" w:lineRule="auto"/>
              <w:ind w:right="111"/>
              <w:jc w:val="right"/>
              <w:rPr>
                <w:rFonts w:asciiTheme="majorHAnsi" w:hAnsiTheme="majorHAnsi" w:cs="Times New Roman"/>
                <w:color w:val="000000"/>
                <w:sz w:val="24"/>
              </w:rPr>
            </w:pPr>
            <w:r w:rsidRPr="009D2E68">
              <w:rPr>
                <w:rFonts w:asciiTheme="majorHAnsi" w:hAnsiTheme="majorHAnsi" w:cs="Arial"/>
                <w:color w:val="000000"/>
                <w:sz w:val="20"/>
              </w:rPr>
              <w:t xml:space="preserve">ΕΙΔΟΣ </w:t>
            </w:r>
          </w:p>
        </w:tc>
        <w:tc>
          <w:tcPr>
            <w:tcW w:w="912" w:type="dxa"/>
            <w:tcBorders>
              <w:top w:val="single" w:sz="4" w:space="0" w:color="000000"/>
              <w:left w:val="nil"/>
              <w:bottom w:val="single" w:sz="4" w:space="0" w:color="000000"/>
              <w:right w:val="single" w:sz="4" w:space="0" w:color="000000"/>
            </w:tcBorders>
          </w:tcPr>
          <w:p w:rsidR="009D2E68" w:rsidRPr="009D2E68" w:rsidRDefault="009D2E68" w:rsidP="009D2E68">
            <w:pPr>
              <w:spacing w:after="160" w:line="259" w:lineRule="auto"/>
              <w:rPr>
                <w:rFonts w:asciiTheme="majorHAnsi" w:hAnsiTheme="majorHAnsi" w:cs="Times New Roman"/>
                <w:color w:val="000000"/>
                <w:sz w:val="24"/>
              </w:rPr>
            </w:pPr>
          </w:p>
        </w:tc>
        <w:tc>
          <w:tcPr>
            <w:tcW w:w="1115" w:type="dxa"/>
            <w:tcBorders>
              <w:top w:val="single" w:sz="4" w:space="0" w:color="000000"/>
              <w:left w:val="single" w:sz="4" w:space="0" w:color="000000"/>
              <w:bottom w:val="single" w:sz="4" w:space="0" w:color="000000"/>
              <w:right w:val="single" w:sz="4" w:space="0" w:color="000000"/>
            </w:tcBorders>
            <w:vAlign w:val="bottom"/>
          </w:tcPr>
          <w:p w:rsidR="009D2E68" w:rsidRPr="009D2E68" w:rsidRDefault="009D2E68" w:rsidP="009D2E68">
            <w:pPr>
              <w:spacing w:line="259" w:lineRule="auto"/>
              <w:ind w:left="48"/>
              <w:rPr>
                <w:rFonts w:asciiTheme="majorHAnsi" w:hAnsiTheme="majorHAnsi" w:cs="Times New Roman"/>
                <w:color w:val="000000"/>
                <w:sz w:val="24"/>
              </w:rPr>
            </w:pPr>
            <w:r w:rsidRPr="009D2E68">
              <w:rPr>
                <w:rFonts w:asciiTheme="majorHAnsi" w:hAnsiTheme="majorHAnsi" w:cs="Arial"/>
                <w:color w:val="000000"/>
                <w:sz w:val="20"/>
              </w:rPr>
              <w:t xml:space="preserve">ΠΟΣΟΤΗΤΑ </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jc w:val="center"/>
              <w:rPr>
                <w:rFonts w:asciiTheme="majorHAnsi" w:hAnsiTheme="majorHAnsi" w:cs="Times New Roman"/>
                <w:color w:val="000000"/>
                <w:sz w:val="24"/>
              </w:rPr>
            </w:pPr>
            <w:r w:rsidRPr="009D2E68">
              <w:rPr>
                <w:rFonts w:asciiTheme="majorHAnsi" w:hAnsiTheme="majorHAnsi" w:cs="Arial"/>
                <w:color w:val="000000"/>
                <w:sz w:val="20"/>
              </w:rPr>
              <w:t xml:space="preserve">ΘΕΛΟΥΝ ΕΛΕΓΧΟ </w:t>
            </w: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ind w:left="86"/>
              <w:rPr>
                <w:rFonts w:asciiTheme="majorHAnsi" w:hAnsiTheme="majorHAnsi" w:cs="Times New Roman"/>
                <w:color w:val="000000"/>
                <w:sz w:val="24"/>
              </w:rPr>
            </w:pPr>
            <w:r w:rsidRPr="009D2E68">
              <w:rPr>
                <w:rFonts w:asciiTheme="majorHAnsi" w:hAnsiTheme="majorHAnsi" w:cs="Arial"/>
                <w:color w:val="000000"/>
                <w:sz w:val="20"/>
              </w:rPr>
              <w:t xml:space="preserve">ΘΕΛΟΥΝ </w:t>
            </w:r>
          </w:p>
          <w:p w:rsidR="009D2E68" w:rsidRPr="009D2E68" w:rsidRDefault="009D2E68" w:rsidP="00140FBB">
            <w:pPr>
              <w:spacing w:after="12" w:line="259" w:lineRule="auto"/>
              <w:ind w:left="17"/>
              <w:rPr>
                <w:rFonts w:asciiTheme="majorHAnsi" w:hAnsiTheme="majorHAnsi" w:cs="Times New Roman"/>
                <w:color w:val="000000"/>
                <w:sz w:val="24"/>
              </w:rPr>
            </w:pPr>
            <w:r w:rsidRPr="009D2E68">
              <w:rPr>
                <w:rFonts w:asciiTheme="majorHAnsi" w:hAnsiTheme="majorHAnsi" w:cs="Arial"/>
                <w:color w:val="000000"/>
                <w:sz w:val="20"/>
              </w:rPr>
              <w:t xml:space="preserve">ΑΝΑΓΟΜΩΣΗ </w:t>
            </w: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ind w:left="55"/>
              <w:rPr>
                <w:rFonts w:asciiTheme="majorHAnsi" w:hAnsiTheme="majorHAnsi" w:cs="Times New Roman"/>
                <w:color w:val="000000"/>
                <w:sz w:val="24"/>
              </w:rPr>
            </w:pPr>
            <w:r w:rsidRPr="009D2E68">
              <w:rPr>
                <w:rFonts w:asciiTheme="majorHAnsi" w:hAnsiTheme="majorHAnsi" w:cs="Arial"/>
                <w:color w:val="000000"/>
                <w:sz w:val="20"/>
              </w:rPr>
              <w:t xml:space="preserve">ΘΕΛΟΥΝ </w:t>
            </w:r>
          </w:p>
          <w:p w:rsidR="009D2E68" w:rsidRPr="009D2E68" w:rsidRDefault="009D2E68" w:rsidP="009D2E68">
            <w:pPr>
              <w:spacing w:after="16"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 xml:space="preserve">ΥΔΡ. </w:t>
            </w:r>
          </w:p>
          <w:p w:rsidR="009D2E68" w:rsidRPr="009D2E68" w:rsidRDefault="009D2E68" w:rsidP="009D2E68">
            <w:pPr>
              <w:spacing w:line="259" w:lineRule="auto"/>
              <w:ind w:left="89"/>
              <w:rPr>
                <w:rFonts w:asciiTheme="majorHAnsi" w:hAnsiTheme="majorHAnsi" w:cs="Times New Roman"/>
                <w:color w:val="000000"/>
                <w:sz w:val="24"/>
              </w:rPr>
            </w:pPr>
            <w:r w:rsidRPr="009D2E68">
              <w:rPr>
                <w:rFonts w:asciiTheme="majorHAnsi" w:hAnsiTheme="majorHAnsi" w:cs="Arial"/>
                <w:color w:val="000000"/>
                <w:sz w:val="20"/>
              </w:rPr>
              <w:t xml:space="preserve">ΔΟΚΙΜΗ </w:t>
            </w:r>
          </w:p>
        </w:tc>
      </w:tr>
      <w:tr w:rsidR="009D2E68" w:rsidRPr="009D2E68" w:rsidTr="00140FBB">
        <w:trPr>
          <w:trHeight w:val="310"/>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1 </w:t>
            </w:r>
          </w:p>
        </w:tc>
        <w:tc>
          <w:tcPr>
            <w:tcW w:w="1837" w:type="dxa"/>
            <w:tcBorders>
              <w:top w:val="single" w:sz="4" w:space="0" w:color="000000"/>
              <w:left w:val="single" w:sz="4" w:space="0" w:color="000000"/>
              <w:bottom w:val="single" w:sz="4" w:space="0" w:color="000000"/>
              <w:right w:val="single" w:sz="4" w:space="0" w:color="000000"/>
            </w:tcBorders>
            <w:vAlign w:val="bottom"/>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Σκόνης </w:t>
            </w:r>
          </w:p>
        </w:tc>
        <w:tc>
          <w:tcPr>
            <w:tcW w:w="912"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left="41"/>
              <w:jc w:val="center"/>
              <w:rPr>
                <w:rFonts w:asciiTheme="majorHAnsi" w:hAnsiTheme="majorHAnsi" w:cs="Times New Roman"/>
                <w:color w:val="000000"/>
                <w:sz w:val="24"/>
              </w:rPr>
            </w:pPr>
            <w:r w:rsidRPr="009D2E68">
              <w:rPr>
                <w:rFonts w:asciiTheme="majorHAnsi" w:hAnsiTheme="majorHAnsi" w:cs="Arial"/>
                <w:color w:val="000000"/>
                <w:sz w:val="20"/>
              </w:rPr>
              <w:t>1,2,3kg</w:t>
            </w:r>
          </w:p>
        </w:tc>
        <w:tc>
          <w:tcPr>
            <w:tcW w:w="1115"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28</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56</w:t>
            </w: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0</w:t>
            </w: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0</w:t>
            </w:r>
          </w:p>
        </w:tc>
      </w:tr>
      <w:tr w:rsidR="009D2E68" w:rsidRPr="009D2E68" w:rsidTr="00140FBB">
        <w:trPr>
          <w:trHeight w:val="310"/>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2 </w:t>
            </w:r>
          </w:p>
        </w:tc>
        <w:tc>
          <w:tcPr>
            <w:tcW w:w="1837" w:type="dxa"/>
            <w:tcBorders>
              <w:top w:val="single" w:sz="4" w:space="0" w:color="000000"/>
              <w:left w:val="single" w:sz="4" w:space="0" w:color="000000"/>
              <w:bottom w:val="single" w:sz="4" w:space="0" w:color="000000"/>
              <w:right w:val="single" w:sz="4" w:space="0" w:color="000000"/>
            </w:tcBorders>
            <w:vAlign w:val="bottom"/>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PA σκόνης </w:t>
            </w:r>
          </w:p>
        </w:tc>
        <w:tc>
          <w:tcPr>
            <w:tcW w:w="912"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3"/>
              <w:jc w:val="center"/>
              <w:rPr>
                <w:rFonts w:asciiTheme="majorHAnsi" w:hAnsiTheme="majorHAnsi" w:cs="Times New Roman"/>
                <w:color w:val="000000"/>
                <w:sz w:val="24"/>
              </w:rPr>
            </w:pPr>
            <w:r w:rsidRPr="009D2E68">
              <w:rPr>
                <w:rFonts w:asciiTheme="majorHAnsi" w:hAnsiTheme="majorHAnsi" w:cs="Arial"/>
                <w:color w:val="000000"/>
                <w:sz w:val="20"/>
              </w:rPr>
              <w:t>6kg</w:t>
            </w:r>
          </w:p>
        </w:tc>
        <w:tc>
          <w:tcPr>
            <w:tcW w:w="1115"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8"/>
              <w:jc w:val="center"/>
              <w:rPr>
                <w:rFonts w:asciiTheme="majorHAnsi" w:hAnsiTheme="majorHAnsi" w:cs="Times New Roman"/>
                <w:color w:val="000000"/>
                <w:sz w:val="24"/>
              </w:rPr>
            </w:pPr>
            <w:r w:rsidRPr="009D2E68">
              <w:rPr>
                <w:rFonts w:asciiTheme="majorHAnsi" w:hAnsiTheme="majorHAnsi" w:cs="Arial"/>
                <w:color w:val="000000"/>
                <w:sz w:val="20"/>
              </w:rPr>
              <w:t>1250</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2500</w:t>
            </w: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8"/>
              <w:jc w:val="center"/>
              <w:rPr>
                <w:rFonts w:asciiTheme="majorHAnsi" w:hAnsiTheme="majorHAnsi" w:cs="Times New Roman"/>
                <w:color w:val="000000"/>
                <w:sz w:val="24"/>
              </w:rPr>
            </w:pPr>
            <w:r w:rsidRPr="009D2E68">
              <w:rPr>
                <w:rFonts w:asciiTheme="majorHAnsi" w:hAnsiTheme="majorHAnsi" w:cs="Arial"/>
                <w:color w:val="000000"/>
                <w:sz w:val="20"/>
              </w:rPr>
              <w:t>550</w:t>
            </w: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464</w:t>
            </w:r>
          </w:p>
        </w:tc>
      </w:tr>
      <w:tr w:rsidR="009D2E68" w:rsidRPr="009D2E68" w:rsidTr="00140FBB">
        <w:trPr>
          <w:trHeight w:val="310"/>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3 </w:t>
            </w:r>
          </w:p>
        </w:tc>
        <w:tc>
          <w:tcPr>
            <w:tcW w:w="1837" w:type="dxa"/>
            <w:tcBorders>
              <w:top w:val="single" w:sz="4" w:space="0" w:color="000000"/>
              <w:left w:val="single" w:sz="4" w:space="0" w:color="000000"/>
              <w:bottom w:val="single" w:sz="4" w:space="0" w:color="000000"/>
              <w:right w:val="single" w:sz="4" w:space="0" w:color="000000"/>
            </w:tcBorders>
            <w:vAlign w:val="bottom"/>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PA σκόνης </w:t>
            </w:r>
          </w:p>
        </w:tc>
        <w:tc>
          <w:tcPr>
            <w:tcW w:w="912"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12kg</w:t>
            </w:r>
          </w:p>
        </w:tc>
        <w:tc>
          <w:tcPr>
            <w:tcW w:w="1115"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36</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72</w:t>
            </w: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8"/>
              <w:jc w:val="center"/>
              <w:rPr>
                <w:rFonts w:asciiTheme="majorHAnsi" w:hAnsiTheme="majorHAnsi" w:cs="Times New Roman"/>
                <w:color w:val="000000"/>
                <w:sz w:val="24"/>
              </w:rPr>
            </w:pPr>
            <w:r w:rsidRPr="009D2E68">
              <w:rPr>
                <w:rFonts w:asciiTheme="majorHAnsi" w:hAnsiTheme="majorHAnsi" w:cs="Arial"/>
                <w:color w:val="000000"/>
                <w:sz w:val="20"/>
              </w:rPr>
              <w:t>24</w:t>
            </w: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8</w:t>
            </w:r>
          </w:p>
        </w:tc>
      </w:tr>
      <w:tr w:rsidR="009D2E68" w:rsidRPr="009D2E68" w:rsidTr="00140FBB">
        <w:trPr>
          <w:trHeight w:val="312"/>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4 </w:t>
            </w:r>
          </w:p>
        </w:tc>
        <w:tc>
          <w:tcPr>
            <w:tcW w:w="1837" w:type="dxa"/>
            <w:tcBorders>
              <w:top w:val="single" w:sz="4" w:space="0" w:color="000000"/>
              <w:left w:val="single" w:sz="4" w:space="0" w:color="000000"/>
              <w:bottom w:val="single" w:sz="4" w:space="0" w:color="000000"/>
              <w:right w:val="single" w:sz="4" w:space="0" w:color="000000"/>
            </w:tcBorders>
            <w:vAlign w:val="bottom"/>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PO σκόνης </w:t>
            </w:r>
          </w:p>
        </w:tc>
        <w:tc>
          <w:tcPr>
            <w:tcW w:w="912"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8"/>
              <w:jc w:val="center"/>
              <w:rPr>
                <w:rFonts w:asciiTheme="majorHAnsi" w:hAnsiTheme="majorHAnsi" w:cs="Times New Roman"/>
                <w:color w:val="000000"/>
                <w:sz w:val="24"/>
              </w:rPr>
            </w:pPr>
            <w:r w:rsidRPr="009D2E68">
              <w:rPr>
                <w:rFonts w:asciiTheme="majorHAnsi" w:hAnsiTheme="majorHAnsi" w:cs="Arial"/>
                <w:color w:val="000000"/>
                <w:sz w:val="20"/>
              </w:rPr>
              <w:t>12Kg</w:t>
            </w:r>
          </w:p>
        </w:tc>
        <w:tc>
          <w:tcPr>
            <w:tcW w:w="1115"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11</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22</w:t>
            </w: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8"/>
              <w:jc w:val="center"/>
              <w:rPr>
                <w:rFonts w:asciiTheme="majorHAnsi" w:hAnsiTheme="majorHAnsi" w:cs="Times New Roman"/>
                <w:color w:val="000000"/>
                <w:sz w:val="24"/>
              </w:rPr>
            </w:pPr>
            <w:r w:rsidRPr="009D2E68">
              <w:rPr>
                <w:rFonts w:asciiTheme="majorHAnsi" w:hAnsiTheme="majorHAnsi" w:cs="Arial"/>
                <w:color w:val="000000"/>
                <w:sz w:val="20"/>
              </w:rPr>
              <w:t>10</w:t>
            </w: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5</w:t>
            </w:r>
          </w:p>
        </w:tc>
      </w:tr>
      <w:tr w:rsidR="009D2E68" w:rsidRPr="009D2E68" w:rsidTr="00140FBB">
        <w:trPr>
          <w:trHeight w:val="468"/>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5 </w:t>
            </w:r>
          </w:p>
        </w:tc>
        <w:tc>
          <w:tcPr>
            <w:tcW w:w="1837"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Τροχήλατοι σκόνης </w:t>
            </w:r>
          </w:p>
        </w:tc>
        <w:tc>
          <w:tcPr>
            <w:tcW w:w="912" w:type="dxa"/>
            <w:tcBorders>
              <w:top w:val="single" w:sz="4" w:space="0" w:color="000000"/>
              <w:left w:val="single" w:sz="4" w:space="0" w:color="000000"/>
              <w:bottom w:val="single" w:sz="4" w:space="0" w:color="000000"/>
              <w:right w:val="single" w:sz="4" w:space="0" w:color="000000"/>
            </w:tcBorders>
            <w:vAlign w:val="bottom"/>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25kg</w:t>
            </w:r>
          </w:p>
        </w:tc>
        <w:tc>
          <w:tcPr>
            <w:tcW w:w="1115" w:type="dxa"/>
            <w:tcBorders>
              <w:top w:val="single" w:sz="4" w:space="0" w:color="000000"/>
              <w:left w:val="single" w:sz="4" w:space="0" w:color="000000"/>
              <w:bottom w:val="single" w:sz="4" w:space="0" w:color="000000"/>
              <w:right w:val="single" w:sz="4" w:space="0" w:color="000000"/>
            </w:tcBorders>
            <w:vAlign w:val="bottom"/>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39</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78</w:t>
            </w: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5</w:t>
            </w: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4</w:t>
            </w:r>
          </w:p>
        </w:tc>
      </w:tr>
      <w:tr w:rsidR="009D2E68" w:rsidRPr="009D2E68" w:rsidTr="00140FBB">
        <w:trPr>
          <w:trHeight w:val="312"/>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6 </w:t>
            </w:r>
          </w:p>
        </w:tc>
        <w:tc>
          <w:tcPr>
            <w:tcW w:w="1837"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CO2 </w:t>
            </w:r>
          </w:p>
        </w:tc>
        <w:tc>
          <w:tcPr>
            <w:tcW w:w="912"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3"/>
              <w:jc w:val="center"/>
              <w:rPr>
                <w:rFonts w:asciiTheme="majorHAnsi" w:hAnsiTheme="majorHAnsi" w:cs="Times New Roman"/>
                <w:color w:val="000000"/>
                <w:sz w:val="24"/>
              </w:rPr>
            </w:pPr>
            <w:r w:rsidRPr="009D2E68">
              <w:rPr>
                <w:rFonts w:asciiTheme="majorHAnsi" w:hAnsiTheme="majorHAnsi" w:cs="Arial"/>
                <w:color w:val="000000"/>
                <w:sz w:val="20"/>
              </w:rPr>
              <w:t>2kg</w:t>
            </w:r>
          </w:p>
        </w:tc>
        <w:tc>
          <w:tcPr>
            <w:tcW w:w="1115"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7</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14</w:t>
            </w: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7</w:t>
            </w: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7</w:t>
            </w:r>
          </w:p>
        </w:tc>
      </w:tr>
      <w:tr w:rsidR="009D2E68" w:rsidRPr="009D2E68" w:rsidTr="00140FBB">
        <w:trPr>
          <w:trHeight w:val="310"/>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lastRenderedPageBreak/>
              <w:t xml:space="preserve">7 </w:t>
            </w:r>
          </w:p>
        </w:tc>
        <w:tc>
          <w:tcPr>
            <w:tcW w:w="1837"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CO2 </w:t>
            </w:r>
          </w:p>
        </w:tc>
        <w:tc>
          <w:tcPr>
            <w:tcW w:w="912"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3"/>
              <w:jc w:val="center"/>
              <w:rPr>
                <w:rFonts w:asciiTheme="majorHAnsi" w:hAnsiTheme="majorHAnsi" w:cs="Times New Roman"/>
                <w:color w:val="000000"/>
                <w:sz w:val="24"/>
              </w:rPr>
            </w:pPr>
            <w:r w:rsidRPr="009D2E68">
              <w:rPr>
                <w:rFonts w:asciiTheme="majorHAnsi" w:hAnsiTheme="majorHAnsi" w:cs="Arial"/>
                <w:color w:val="000000"/>
                <w:sz w:val="20"/>
              </w:rPr>
              <w:t>5kg</w:t>
            </w:r>
          </w:p>
        </w:tc>
        <w:tc>
          <w:tcPr>
            <w:tcW w:w="1115"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109</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218</w:t>
            </w: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8"/>
              <w:jc w:val="center"/>
              <w:rPr>
                <w:rFonts w:asciiTheme="majorHAnsi" w:hAnsiTheme="majorHAnsi" w:cs="Times New Roman"/>
                <w:color w:val="000000"/>
                <w:sz w:val="24"/>
              </w:rPr>
            </w:pPr>
            <w:r w:rsidRPr="009D2E68">
              <w:rPr>
                <w:rFonts w:asciiTheme="majorHAnsi" w:hAnsiTheme="majorHAnsi" w:cs="Arial"/>
                <w:color w:val="000000"/>
                <w:sz w:val="20"/>
              </w:rPr>
              <w:t>48</w:t>
            </w: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48</w:t>
            </w:r>
          </w:p>
        </w:tc>
      </w:tr>
      <w:tr w:rsidR="009D2E68" w:rsidRPr="009D2E68" w:rsidTr="00140FBB">
        <w:trPr>
          <w:trHeight w:val="470"/>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8 </w:t>
            </w:r>
          </w:p>
        </w:tc>
        <w:tc>
          <w:tcPr>
            <w:tcW w:w="1837" w:type="dxa"/>
            <w:tcBorders>
              <w:top w:val="single" w:sz="4" w:space="0" w:color="000000"/>
              <w:left w:val="single" w:sz="4" w:space="0" w:color="000000"/>
              <w:bottom w:val="single" w:sz="4" w:space="0" w:color="000000"/>
              <w:right w:val="single" w:sz="4" w:space="0" w:color="000000"/>
            </w:tcBorders>
            <w:vAlign w:val="bottom"/>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CO2 τροχήλατοι </w:t>
            </w:r>
          </w:p>
        </w:tc>
        <w:tc>
          <w:tcPr>
            <w:tcW w:w="912"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25,30k g</w:t>
            </w:r>
          </w:p>
        </w:tc>
        <w:tc>
          <w:tcPr>
            <w:tcW w:w="1115" w:type="dxa"/>
            <w:tcBorders>
              <w:top w:val="single" w:sz="4" w:space="0" w:color="000000"/>
              <w:left w:val="single" w:sz="4" w:space="0" w:color="000000"/>
              <w:bottom w:val="single" w:sz="4" w:space="0" w:color="000000"/>
              <w:right w:val="single" w:sz="4" w:space="0" w:color="000000"/>
            </w:tcBorders>
            <w:vAlign w:val="bottom"/>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6</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7"/>
              <w:jc w:val="center"/>
              <w:rPr>
                <w:rFonts w:asciiTheme="majorHAnsi" w:hAnsiTheme="majorHAnsi" w:cs="Times New Roman"/>
                <w:color w:val="000000"/>
                <w:sz w:val="24"/>
              </w:rPr>
            </w:pPr>
            <w:r w:rsidRPr="009D2E68">
              <w:rPr>
                <w:rFonts w:asciiTheme="majorHAnsi" w:hAnsiTheme="majorHAnsi" w:cs="Arial"/>
                <w:color w:val="000000"/>
                <w:sz w:val="20"/>
              </w:rPr>
              <w:t>12</w:t>
            </w: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4</w:t>
            </w: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5"/>
              <w:jc w:val="center"/>
              <w:rPr>
                <w:rFonts w:asciiTheme="majorHAnsi" w:hAnsiTheme="majorHAnsi" w:cs="Times New Roman"/>
                <w:color w:val="000000"/>
                <w:sz w:val="24"/>
              </w:rPr>
            </w:pPr>
            <w:r w:rsidRPr="009D2E68">
              <w:rPr>
                <w:rFonts w:asciiTheme="majorHAnsi" w:hAnsiTheme="majorHAnsi" w:cs="Arial"/>
                <w:color w:val="000000"/>
                <w:sz w:val="20"/>
              </w:rPr>
              <w:t>4</w:t>
            </w:r>
          </w:p>
        </w:tc>
      </w:tr>
      <w:tr w:rsidR="009D2E68" w:rsidRPr="009D2E68" w:rsidTr="00140FBB">
        <w:trPr>
          <w:trHeight w:val="310"/>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 </w:t>
            </w:r>
          </w:p>
        </w:tc>
        <w:tc>
          <w:tcPr>
            <w:tcW w:w="1837" w:type="dxa"/>
            <w:tcBorders>
              <w:top w:val="single" w:sz="4" w:space="0" w:color="000000"/>
              <w:left w:val="single" w:sz="4" w:space="0" w:color="000000"/>
              <w:bottom w:val="single" w:sz="4" w:space="0" w:color="000000"/>
              <w:right w:val="single" w:sz="4" w:space="0" w:color="000000"/>
            </w:tcBorders>
            <w:vAlign w:val="bottom"/>
          </w:tcPr>
          <w:p w:rsidR="009D2E68" w:rsidRPr="009D2E68" w:rsidRDefault="009D2E68" w:rsidP="009D2E68">
            <w:pPr>
              <w:spacing w:line="259" w:lineRule="auto"/>
              <w:rPr>
                <w:rFonts w:asciiTheme="majorHAnsi" w:hAnsiTheme="majorHAnsi" w:cs="Times New Roman"/>
                <w:color w:val="000000"/>
                <w:sz w:val="24"/>
              </w:rPr>
            </w:pPr>
            <w:r w:rsidRPr="009D2E68">
              <w:rPr>
                <w:rFonts w:asciiTheme="majorHAnsi" w:hAnsiTheme="majorHAnsi" w:cs="Arial"/>
                <w:color w:val="000000"/>
                <w:sz w:val="20"/>
              </w:rPr>
              <w:t xml:space="preserve">ΣΥΝΟΛΟ </w:t>
            </w:r>
          </w:p>
        </w:tc>
        <w:tc>
          <w:tcPr>
            <w:tcW w:w="912"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after="160" w:line="259" w:lineRule="auto"/>
              <w:rPr>
                <w:rFonts w:asciiTheme="majorHAnsi" w:hAnsiTheme="majorHAnsi" w:cs="Times New Roman"/>
                <w:color w:val="000000"/>
                <w:sz w:val="24"/>
              </w:rPr>
            </w:pPr>
          </w:p>
        </w:tc>
        <w:tc>
          <w:tcPr>
            <w:tcW w:w="1115"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ind w:right="58"/>
              <w:jc w:val="center"/>
              <w:rPr>
                <w:rFonts w:asciiTheme="majorHAnsi" w:hAnsiTheme="majorHAnsi" w:cs="Times New Roman"/>
                <w:color w:val="000000"/>
                <w:sz w:val="24"/>
              </w:rPr>
            </w:pPr>
            <w:r w:rsidRPr="009D2E68">
              <w:rPr>
                <w:rFonts w:asciiTheme="majorHAnsi" w:hAnsiTheme="majorHAnsi" w:cs="Arial"/>
                <w:color w:val="000000"/>
                <w:sz w:val="20"/>
              </w:rPr>
              <w:t>1.486</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jc w:val="center"/>
              <w:rPr>
                <w:rFonts w:asciiTheme="majorHAnsi" w:hAnsiTheme="majorHAnsi" w:cs="Times New Roman"/>
                <w:color w:val="000000"/>
                <w:sz w:val="24"/>
              </w:rPr>
            </w:pP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jc w:val="center"/>
              <w:rPr>
                <w:rFonts w:asciiTheme="majorHAnsi" w:hAnsiTheme="majorHAnsi" w:cs="Times New Roman"/>
                <w:color w:val="000000"/>
                <w:sz w:val="24"/>
              </w:rPr>
            </w:pP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140FBB">
            <w:pPr>
              <w:spacing w:line="259" w:lineRule="auto"/>
              <w:jc w:val="center"/>
              <w:rPr>
                <w:rFonts w:asciiTheme="majorHAnsi" w:hAnsiTheme="majorHAnsi" w:cs="Times New Roman"/>
                <w:color w:val="000000"/>
                <w:sz w:val="24"/>
              </w:rPr>
            </w:pPr>
          </w:p>
        </w:tc>
      </w:tr>
      <w:tr w:rsidR="009D2E68" w:rsidRPr="009D2E68" w:rsidTr="00140FBB">
        <w:trPr>
          <w:trHeight w:val="264"/>
        </w:trPr>
        <w:tc>
          <w:tcPr>
            <w:tcW w:w="578"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ind w:right="2"/>
              <w:jc w:val="center"/>
              <w:rPr>
                <w:rFonts w:asciiTheme="majorHAnsi" w:hAnsiTheme="majorHAnsi" w:cs="Times New Roman"/>
                <w:color w:val="000000"/>
                <w:sz w:val="24"/>
              </w:rPr>
            </w:pPr>
            <w:r w:rsidRPr="009D2E68">
              <w:rPr>
                <w:rFonts w:asciiTheme="majorHAnsi" w:hAnsiTheme="majorHAnsi" w:cs="Arial"/>
                <w:color w:val="000000"/>
                <w:sz w:val="20"/>
              </w:rPr>
              <w:t xml:space="preserve"> </w:t>
            </w:r>
          </w:p>
        </w:tc>
        <w:tc>
          <w:tcPr>
            <w:tcW w:w="1837" w:type="dxa"/>
            <w:tcBorders>
              <w:top w:val="single" w:sz="4" w:space="0" w:color="000000"/>
              <w:left w:val="single" w:sz="4" w:space="0" w:color="000000"/>
              <w:bottom w:val="single" w:sz="4" w:space="0" w:color="000000"/>
              <w:right w:val="nil"/>
            </w:tcBorders>
          </w:tcPr>
          <w:p w:rsidR="009D2E68" w:rsidRPr="009D2E68" w:rsidRDefault="009D2E68" w:rsidP="009D2E68">
            <w:pPr>
              <w:spacing w:line="259" w:lineRule="auto"/>
              <w:ind w:left="910"/>
              <w:jc w:val="center"/>
              <w:rPr>
                <w:rFonts w:asciiTheme="majorHAnsi" w:hAnsiTheme="majorHAnsi" w:cs="Times New Roman"/>
                <w:color w:val="000000"/>
                <w:sz w:val="24"/>
              </w:rPr>
            </w:pPr>
            <w:r w:rsidRPr="009D2E68">
              <w:rPr>
                <w:rFonts w:asciiTheme="majorHAnsi" w:hAnsiTheme="majorHAnsi" w:cs="Arial"/>
                <w:color w:val="000000"/>
                <w:sz w:val="20"/>
              </w:rPr>
              <w:t xml:space="preserve"> </w:t>
            </w:r>
          </w:p>
        </w:tc>
        <w:tc>
          <w:tcPr>
            <w:tcW w:w="912" w:type="dxa"/>
            <w:tcBorders>
              <w:top w:val="single" w:sz="4" w:space="0" w:color="000000"/>
              <w:left w:val="nil"/>
              <w:bottom w:val="single" w:sz="4" w:space="0" w:color="000000"/>
              <w:right w:val="single" w:sz="4" w:space="0" w:color="000000"/>
            </w:tcBorders>
            <w:vAlign w:val="center"/>
          </w:tcPr>
          <w:p w:rsidR="009D2E68" w:rsidRPr="009D2E68" w:rsidRDefault="009D2E68" w:rsidP="009D2E68">
            <w:pPr>
              <w:spacing w:after="160" w:line="259" w:lineRule="auto"/>
              <w:rPr>
                <w:rFonts w:asciiTheme="majorHAnsi" w:hAnsiTheme="majorHAnsi" w:cs="Times New Roman"/>
                <w:color w:val="000000"/>
                <w:sz w:val="24"/>
              </w:rPr>
            </w:pPr>
          </w:p>
        </w:tc>
        <w:tc>
          <w:tcPr>
            <w:tcW w:w="1115"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jc w:val="center"/>
              <w:rPr>
                <w:rFonts w:asciiTheme="majorHAnsi" w:hAnsiTheme="majorHAnsi" w:cs="Times New Roman"/>
                <w:color w:val="000000"/>
                <w:sz w:val="24"/>
              </w:rPr>
            </w:pPr>
            <w:r w:rsidRPr="009D2E68">
              <w:rPr>
                <w:rFonts w:asciiTheme="majorHAnsi" w:hAnsiTheme="majorHAnsi" w:cs="Arial"/>
                <w:b/>
                <w:color w:val="000000"/>
                <w:sz w:val="20"/>
              </w:rPr>
              <w:t xml:space="preserve"> </w:t>
            </w:r>
          </w:p>
        </w:tc>
        <w:tc>
          <w:tcPr>
            <w:tcW w:w="1089"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ind w:right="2"/>
              <w:jc w:val="center"/>
              <w:rPr>
                <w:rFonts w:asciiTheme="majorHAnsi" w:hAnsiTheme="majorHAnsi" w:cs="Times New Roman"/>
                <w:color w:val="000000"/>
                <w:sz w:val="24"/>
              </w:rPr>
            </w:pPr>
            <w:r w:rsidRPr="009D2E68">
              <w:rPr>
                <w:rFonts w:asciiTheme="majorHAnsi" w:hAnsiTheme="majorHAnsi" w:cs="Arial"/>
                <w:b/>
                <w:color w:val="000000"/>
                <w:sz w:val="20"/>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ind w:right="1"/>
              <w:jc w:val="center"/>
              <w:rPr>
                <w:rFonts w:asciiTheme="majorHAnsi" w:hAnsiTheme="majorHAnsi" w:cs="Times New Roman"/>
                <w:color w:val="000000"/>
                <w:sz w:val="24"/>
              </w:rPr>
            </w:pPr>
            <w:r w:rsidRPr="009D2E68">
              <w:rPr>
                <w:rFonts w:asciiTheme="majorHAnsi" w:hAnsiTheme="majorHAnsi" w:cs="Arial"/>
                <w:b/>
                <w:color w:val="000000"/>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9D2E68" w:rsidRPr="009D2E68" w:rsidRDefault="009D2E68" w:rsidP="009D2E68">
            <w:pPr>
              <w:spacing w:line="259" w:lineRule="auto"/>
              <w:ind w:right="2"/>
              <w:jc w:val="center"/>
              <w:rPr>
                <w:rFonts w:asciiTheme="majorHAnsi" w:hAnsiTheme="majorHAnsi" w:cs="Times New Roman"/>
                <w:color w:val="000000"/>
                <w:sz w:val="24"/>
              </w:rPr>
            </w:pPr>
            <w:r w:rsidRPr="009D2E68">
              <w:rPr>
                <w:rFonts w:asciiTheme="majorHAnsi" w:hAnsiTheme="majorHAnsi" w:cs="Arial"/>
                <w:b/>
                <w:color w:val="000000"/>
                <w:sz w:val="20"/>
              </w:rPr>
              <w:t xml:space="preserve"> </w:t>
            </w:r>
          </w:p>
        </w:tc>
      </w:tr>
    </w:tbl>
    <w:p w:rsidR="009D2E68" w:rsidRPr="009D2E68" w:rsidRDefault="009D2E68" w:rsidP="009D2E68">
      <w:pPr>
        <w:spacing w:after="0"/>
        <w:ind w:left="26"/>
        <w:jc w:val="center"/>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keepNext/>
        <w:keepLines/>
        <w:spacing w:after="0"/>
        <w:ind w:left="24" w:hanging="10"/>
        <w:outlineLvl w:val="0"/>
        <w:rPr>
          <w:rFonts w:asciiTheme="majorHAnsi" w:eastAsia="Times New Roman" w:hAnsiTheme="majorHAnsi" w:cs="Times New Roman"/>
          <w:b/>
          <w:color w:val="000000"/>
          <w:sz w:val="24"/>
          <w:lang w:eastAsia="el-GR"/>
        </w:rPr>
      </w:pPr>
      <w:r w:rsidRPr="009D2E68">
        <w:rPr>
          <w:rFonts w:asciiTheme="majorHAnsi" w:eastAsia="Times New Roman" w:hAnsiTheme="majorHAnsi" w:cs="Times New Roman"/>
          <w:b/>
          <w:color w:val="000000"/>
          <w:sz w:val="24"/>
          <w:lang w:eastAsia="el-GR"/>
        </w:rPr>
        <w:t xml:space="preserve">                                                           ΠΙΝΑΚΑΣ 1 </w:t>
      </w:r>
    </w:p>
    <w:p w:rsidR="009D2E68" w:rsidRPr="009D2E68" w:rsidRDefault="009D2E68" w:rsidP="009D2E68">
      <w:pPr>
        <w:spacing w:after="22"/>
        <w:ind w:left="2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15" w:line="267" w:lineRule="auto"/>
        <w:ind w:left="24"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Αναλυτικά οι εργασίες περιλαμβάνουν: </w:t>
      </w:r>
    </w:p>
    <w:p w:rsidR="009D2E68" w:rsidRPr="006A770D" w:rsidRDefault="009D2E68" w:rsidP="00FE29B3">
      <w:pPr>
        <w:numPr>
          <w:ilvl w:val="0"/>
          <w:numId w:val="43"/>
        </w:numPr>
        <w:spacing w:after="15" w:line="267" w:lineRule="auto"/>
        <w:ind w:left="759" w:right="53" w:hanging="10"/>
        <w:jc w:val="both"/>
        <w:rPr>
          <w:rFonts w:asciiTheme="majorHAnsi" w:eastAsia="Times New Roman" w:hAnsiTheme="majorHAnsi" w:cs="Times New Roman"/>
          <w:color w:val="000000"/>
          <w:sz w:val="24"/>
          <w:lang w:eastAsia="el-GR"/>
        </w:rPr>
      </w:pPr>
      <w:r w:rsidRPr="006A770D">
        <w:rPr>
          <w:rFonts w:asciiTheme="majorHAnsi" w:eastAsia="Times New Roman" w:hAnsiTheme="majorHAnsi" w:cs="Times New Roman"/>
          <w:color w:val="000000"/>
          <w:sz w:val="24"/>
          <w:lang w:eastAsia="el-GR"/>
        </w:rPr>
        <w:t>Ετήσια συντήρηση τους που θα περιλαμβάνει έλεγχο, αναγόμωση, υδραυλική δοκιμή και συμπλήρωση υλικού, όπου απαιτείται και όπως προβλέπεται από την Κ.Υ.Α. 618/43/20-01-2005 ( ΦΕΚ Β΄52) όπως τροποποιήθηκε και ισχύει με τη</w:t>
      </w:r>
      <w:r w:rsidR="006A770D" w:rsidRPr="006A770D">
        <w:rPr>
          <w:rFonts w:asciiTheme="majorHAnsi" w:eastAsia="Times New Roman" w:hAnsiTheme="majorHAnsi" w:cs="Times New Roman"/>
          <w:color w:val="000000"/>
          <w:sz w:val="24"/>
          <w:lang w:eastAsia="el-GR"/>
        </w:rPr>
        <w:t>ν υπ΄α</w:t>
      </w:r>
      <w:r w:rsidRPr="006A770D">
        <w:rPr>
          <w:rFonts w:asciiTheme="majorHAnsi" w:eastAsia="Times New Roman" w:hAnsiTheme="majorHAnsi" w:cs="Times New Roman"/>
          <w:color w:val="000000"/>
          <w:sz w:val="24"/>
          <w:lang w:eastAsia="el-GR"/>
        </w:rPr>
        <w:t xml:space="preserve">ριθ. 17230/671/01-09-2005 (ΦΕΚ Β΄1218) </w:t>
      </w:r>
      <w:r w:rsidR="006A770D" w:rsidRPr="006A770D">
        <w:rPr>
          <w:rFonts w:asciiTheme="majorHAnsi" w:eastAsia="Times New Roman" w:hAnsiTheme="majorHAnsi" w:cs="Times New Roman"/>
          <w:color w:val="000000"/>
          <w:sz w:val="24"/>
          <w:lang w:eastAsia="el-GR"/>
        </w:rPr>
        <w:t xml:space="preserve">απόφαση </w:t>
      </w:r>
      <w:r w:rsidR="006A770D">
        <w:rPr>
          <w:rFonts w:asciiTheme="majorHAnsi" w:eastAsia="Times New Roman" w:hAnsiTheme="majorHAnsi" w:cs="Times New Roman"/>
          <w:color w:val="000000"/>
          <w:sz w:val="24"/>
          <w:lang w:eastAsia="el-GR"/>
        </w:rPr>
        <w:t xml:space="preserve">και την Πυροσβεστική </w:t>
      </w:r>
      <w:r w:rsidRPr="006A770D">
        <w:rPr>
          <w:rFonts w:asciiTheme="majorHAnsi" w:eastAsia="Times New Roman" w:hAnsiTheme="majorHAnsi" w:cs="Times New Roman"/>
          <w:color w:val="000000"/>
          <w:sz w:val="24"/>
          <w:lang w:eastAsia="el-GR"/>
        </w:rPr>
        <w:t>Διαταγή 15/2014 (ΦΕΚ Β’ 3149/24.11.2014) όπως τροπ</w:t>
      </w:r>
      <w:r w:rsidR="006A770D">
        <w:rPr>
          <w:rFonts w:asciiTheme="majorHAnsi" w:eastAsia="Times New Roman" w:hAnsiTheme="majorHAnsi" w:cs="Times New Roman"/>
          <w:color w:val="000000"/>
          <w:sz w:val="24"/>
          <w:lang w:eastAsia="el-GR"/>
        </w:rPr>
        <w:t>οποιήθηκε και ισχύει με την υπ΄α</w:t>
      </w:r>
      <w:r w:rsidRPr="006A770D">
        <w:rPr>
          <w:rFonts w:asciiTheme="majorHAnsi" w:eastAsia="Times New Roman" w:hAnsiTheme="majorHAnsi" w:cs="Times New Roman"/>
          <w:color w:val="000000"/>
          <w:sz w:val="24"/>
          <w:lang w:eastAsia="el-GR"/>
        </w:rPr>
        <w:t xml:space="preserve">ριθ. 24738 Φ.701.2 (ΦΕΚ Β΄ 2089/19.6.2017) </w:t>
      </w:r>
      <w:r w:rsidR="006A770D">
        <w:rPr>
          <w:rFonts w:asciiTheme="majorHAnsi" w:eastAsia="Times New Roman" w:hAnsiTheme="majorHAnsi" w:cs="Times New Roman"/>
          <w:color w:val="000000"/>
          <w:sz w:val="24"/>
          <w:lang w:eastAsia="el-GR"/>
        </w:rPr>
        <w:t>απόφαση.</w:t>
      </w:r>
    </w:p>
    <w:p w:rsidR="009D2E68" w:rsidRPr="009D2E68" w:rsidRDefault="009D2E68" w:rsidP="009D2E68">
      <w:pPr>
        <w:spacing w:after="43"/>
        <w:ind w:left="2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15" w:line="267" w:lineRule="auto"/>
        <w:ind w:left="759"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Διευκρινίζεται ότι σύμφωνα με την υπ. αρ</w:t>
      </w:r>
      <w:r w:rsidR="006A770D">
        <w:rPr>
          <w:rFonts w:asciiTheme="majorHAnsi" w:eastAsia="Times New Roman" w:hAnsiTheme="majorHAnsi" w:cs="Times New Roman"/>
          <w:color w:val="000000"/>
          <w:sz w:val="24"/>
          <w:lang w:eastAsia="el-GR"/>
        </w:rPr>
        <w:t>ιθ</w:t>
      </w:r>
      <w:r w:rsidRPr="009D2E68">
        <w:rPr>
          <w:rFonts w:asciiTheme="majorHAnsi" w:eastAsia="Times New Roman" w:hAnsiTheme="majorHAnsi" w:cs="Times New Roman"/>
          <w:color w:val="000000"/>
          <w:sz w:val="24"/>
          <w:lang w:eastAsia="el-GR"/>
        </w:rPr>
        <w:t xml:space="preserve">. 15325/871/26.6.2008 εγκύκλιο του Γενικού Γραμματέα Βιομηχανίας, προβλέπεται τοποθέτηση δακτυλίου ελέγχου στο λαιμό των πυροσβεστήρων μετά από κάθε έλεγχο, αναγόμωση ή υδραυλική δοκιμή. Ο δακτύλιος αυτός θα πρέπει να είναι κατασκευασμένος από υλικό συμπαγές, ενιαίο, κυκλικού σχήματος (δίσκος ή πολύγωνο), ο οποίος θα φέρει στο κέντρο του οπή με σταθερή διάμετρο (η περιφέρεια της θα εφάπτεται στο λαιμό του κελύφους) που να μην επιτρέπει στο δακτύλιο να μετακινηθεί και να αφαιρεθεί από το κέλυφος του πυροσβεστήρα παρά μόνο στην περίπτωση που το σύνολο των εξαρτημάτων του πώματος-μηχανισμού εκτόξευσης (μανόμετρο, κλείστρο </w:t>
      </w:r>
      <w:r w:rsidR="006A770D" w:rsidRPr="009D2E68">
        <w:rPr>
          <w:rFonts w:asciiTheme="majorHAnsi" w:eastAsia="Times New Roman" w:hAnsiTheme="majorHAnsi" w:cs="Times New Roman"/>
          <w:color w:val="000000"/>
          <w:sz w:val="24"/>
          <w:lang w:eastAsia="el-GR"/>
        </w:rPr>
        <w:t>κ.λπ.</w:t>
      </w:r>
      <w:r w:rsidRPr="009D2E68">
        <w:rPr>
          <w:rFonts w:asciiTheme="majorHAnsi" w:eastAsia="Times New Roman" w:hAnsiTheme="majorHAnsi" w:cs="Times New Roman"/>
          <w:color w:val="000000"/>
          <w:sz w:val="24"/>
          <w:lang w:eastAsia="el-GR"/>
        </w:rPr>
        <w:t xml:space="preserve">) αφαιρεθούν τελείως. </w:t>
      </w:r>
    </w:p>
    <w:p w:rsidR="009D2E68" w:rsidRPr="009D2E68" w:rsidRDefault="009D2E68" w:rsidP="009D2E68">
      <w:pPr>
        <w:spacing w:after="20"/>
        <w:ind w:left="74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15" w:line="267" w:lineRule="auto"/>
        <w:ind w:left="759"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Για τους πυροσβεστήρες CO2, ο ανάδοχος θα παραδίδει στην επιτροπή λίστα ανά κτήριο με πίνακα που θα αναγράφει τον αρ. πυροσβεστήρα και το αποτέλεσμα της ζύγισης αυτού (μεικτό, απόβαρο και καθαρό). </w:t>
      </w:r>
    </w:p>
    <w:p w:rsidR="009D2E68" w:rsidRPr="009D2E68" w:rsidRDefault="009D2E68" w:rsidP="009D2E68">
      <w:pPr>
        <w:spacing w:after="0"/>
        <w:ind w:left="74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15" w:line="267" w:lineRule="auto"/>
        <w:ind w:left="759"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Σε περίπτωση υδραυλικής δοκιμής, η ημερομηνία αυτής θα σημαδεύεται ανάγλυφα (χαραγμένη) στην φιάλη (σκέτο αυτοκόλλητο δεν θα γίνεται δεκτό). </w:t>
      </w:r>
    </w:p>
    <w:p w:rsidR="009D2E68" w:rsidRPr="009D2E68" w:rsidRDefault="009D2E68" w:rsidP="009D2E68">
      <w:pPr>
        <w:spacing w:after="25"/>
        <w:ind w:left="74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numPr>
          <w:ilvl w:val="0"/>
          <w:numId w:val="43"/>
        </w:numPr>
        <w:spacing w:after="15" w:line="267" w:lineRule="auto"/>
        <w:ind w:right="53" w:hanging="36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Οπτικό έλεγχο έξι (6) μήνες μετά τον έλεγχο σύμφωνα με τα όσα αναφέρονται στο παράρτημα ΙΙ της Κ.Υ.Α. 618/43/20-01-2005 ( ΦΕΚ Β΄52) και όπως τροπ</w:t>
      </w:r>
      <w:r w:rsidR="006A770D">
        <w:rPr>
          <w:rFonts w:asciiTheme="majorHAnsi" w:eastAsia="Times New Roman" w:hAnsiTheme="majorHAnsi" w:cs="Times New Roman"/>
          <w:color w:val="000000"/>
          <w:sz w:val="24"/>
          <w:lang w:eastAsia="el-GR"/>
        </w:rPr>
        <w:t>οποιήθηκε και ισχύει με την υπ΄α</w:t>
      </w:r>
      <w:r w:rsidRPr="009D2E68">
        <w:rPr>
          <w:rFonts w:asciiTheme="majorHAnsi" w:eastAsia="Times New Roman" w:hAnsiTheme="majorHAnsi" w:cs="Times New Roman"/>
          <w:color w:val="000000"/>
          <w:sz w:val="24"/>
          <w:lang w:eastAsia="el-GR"/>
        </w:rPr>
        <w:t xml:space="preserve">ριθ. 17230/671/01-09-2005 (ΦΕΚ Β΄1218) </w:t>
      </w:r>
    </w:p>
    <w:p w:rsidR="009D2E68" w:rsidRPr="009D2E68" w:rsidRDefault="009D2E68" w:rsidP="009D2E68">
      <w:pPr>
        <w:spacing w:after="22"/>
        <w:ind w:left="74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lastRenderedPageBreak/>
        <w:t xml:space="preserve"> </w:t>
      </w:r>
    </w:p>
    <w:p w:rsidR="009D2E68" w:rsidRPr="009D2E68" w:rsidRDefault="009D2E68" w:rsidP="009D2E68">
      <w:pPr>
        <w:numPr>
          <w:ilvl w:val="0"/>
          <w:numId w:val="43"/>
        </w:numPr>
        <w:spacing w:after="15" w:line="267" w:lineRule="auto"/>
        <w:ind w:right="53" w:hanging="36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Ανταλλακτικά πυροσβεστήρων, ήτοι: </w:t>
      </w:r>
    </w:p>
    <w:p w:rsidR="009D2E68" w:rsidRPr="009D2E68" w:rsidRDefault="009D2E68" w:rsidP="009D2E68">
      <w:pPr>
        <w:numPr>
          <w:ilvl w:val="3"/>
          <w:numId w:val="44"/>
        </w:numPr>
        <w:spacing w:after="15" w:line="267" w:lineRule="auto"/>
        <w:ind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Χοάνη &amp; σωλήνα εκτόξευσης φορητού πυροσβεστήρα CO2 </w:t>
      </w:r>
    </w:p>
    <w:p w:rsidR="009D2E68" w:rsidRPr="009D2E68" w:rsidRDefault="009D2E68" w:rsidP="009D2E68">
      <w:pPr>
        <w:numPr>
          <w:ilvl w:val="3"/>
          <w:numId w:val="44"/>
        </w:numPr>
        <w:spacing w:after="15" w:line="267" w:lineRule="auto"/>
        <w:ind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Χοάνη &amp; σωλήνα εκτόξευσης τροχήλατου πυροσβεστήρα CO2 </w:t>
      </w:r>
    </w:p>
    <w:p w:rsidR="009D2E68" w:rsidRPr="009D2E68" w:rsidRDefault="009D2E68" w:rsidP="009D2E68">
      <w:pPr>
        <w:numPr>
          <w:ilvl w:val="3"/>
          <w:numId w:val="44"/>
        </w:numPr>
        <w:spacing w:after="15" w:line="267" w:lineRule="auto"/>
        <w:ind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Αυτόκλειστρο πυρ/ρα CO2 </w:t>
      </w:r>
    </w:p>
    <w:p w:rsidR="009D2E68" w:rsidRPr="009D2E68" w:rsidRDefault="009D2E68" w:rsidP="009D2E68">
      <w:pPr>
        <w:numPr>
          <w:ilvl w:val="3"/>
          <w:numId w:val="44"/>
        </w:numPr>
        <w:spacing w:after="15" w:line="267" w:lineRule="auto"/>
        <w:ind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Κλείστρο πυρ/ρα ξηράς κόνεως </w:t>
      </w:r>
    </w:p>
    <w:p w:rsidR="009D2E68" w:rsidRPr="009D2E68" w:rsidRDefault="009D2E68" w:rsidP="009D2E68">
      <w:pPr>
        <w:numPr>
          <w:ilvl w:val="3"/>
          <w:numId w:val="44"/>
        </w:numPr>
        <w:spacing w:after="15" w:line="267" w:lineRule="auto"/>
        <w:ind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Στρόφιγγα τροχήλατου πυρ/ρα CO2 </w:t>
      </w:r>
    </w:p>
    <w:p w:rsidR="009D2E68" w:rsidRPr="009D2E68" w:rsidRDefault="009D2E68" w:rsidP="009D2E68">
      <w:pPr>
        <w:numPr>
          <w:ilvl w:val="3"/>
          <w:numId w:val="44"/>
        </w:numPr>
        <w:spacing w:after="15" w:line="267" w:lineRule="auto"/>
        <w:ind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Στρόφιγγα τροχήλατου πυρ/ρα ξηράς κόνεως </w:t>
      </w:r>
    </w:p>
    <w:p w:rsidR="009D2E68" w:rsidRPr="009D2E68" w:rsidRDefault="009D2E68" w:rsidP="009D2E68">
      <w:pPr>
        <w:numPr>
          <w:ilvl w:val="3"/>
          <w:numId w:val="44"/>
        </w:numPr>
        <w:spacing w:after="15" w:line="267" w:lineRule="auto"/>
        <w:ind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Σωλήνα εκτόξευσης φορητού πυρ/ρα ξηράς κόνεως </w:t>
      </w:r>
    </w:p>
    <w:p w:rsidR="009D2E68" w:rsidRPr="009D2E68" w:rsidRDefault="009D2E68" w:rsidP="009D2E68">
      <w:pPr>
        <w:numPr>
          <w:ilvl w:val="3"/>
          <w:numId w:val="44"/>
        </w:numPr>
        <w:spacing w:after="15" w:line="267" w:lineRule="auto"/>
        <w:ind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Σωλήνα εκτόξευσης τροχήλατου πυρ/ρα ξηράς κόνεως </w:t>
      </w:r>
    </w:p>
    <w:p w:rsidR="009D2E68" w:rsidRPr="009D2E68" w:rsidRDefault="009D2E68" w:rsidP="009D2E68">
      <w:pPr>
        <w:numPr>
          <w:ilvl w:val="3"/>
          <w:numId w:val="44"/>
        </w:numPr>
        <w:spacing w:after="15" w:line="267" w:lineRule="auto"/>
        <w:ind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Μανόμετρο πυρ/ρα ξηράς κόνεως </w:t>
      </w:r>
    </w:p>
    <w:p w:rsidR="009D2E68" w:rsidRPr="009D2E68" w:rsidRDefault="009D2E68" w:rsidP="009D2E68">
      <w:pPr>
        <w:numPr>
          <w:ilvl w:val="3"/>
          <w:numId w:val="44"/>
        </w:numPr>
        <w:spacing w:after="15" w:line="267" w:lineRule="auto"/>
        <w:ind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Λάστιχα ή άλλη διάταξη συγκράτησης ακροφυσίου (π.χ. μαγνήτες) </w:t>
      </w:r>
    </w:p>
    <w:p w:rsidR="009D2E68" w:rsidRPr="009D2E68" w:rsidRDefault="009D2E68" w:rsidP="009D2E68">
      <w:pPr>
        <w:spacing w:after="15" w:line="267" w:lineRule="auto"/>
        <w:ind w:left="759"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περιλαμβάνονται στο τίμημα και δεν θα τιμολογούνται. Ο Ανάδοχος καλείται να εκτιμήσει την σχετική ποσότητα, βάσει του αναλυτικού πίνακα πυροσβεστήρων ανωτέρω, και να τα συμπεριλάβει στην τιμή ελέγχου ανά είδος. </w:t>
      </w:r>
    </w:p>
    <w:p w:rsidR="009D2E68" w:rsidRPr="009D2E68" w:rsidRDefault="009D2E68" w:rsidP="009D2E68">
      <w:pPr>
        <w:spacing w:after="22"/>
        <w:ind w:left="29"/>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 </w:t>
      </w:r>
    </w:p>
    <w:p w:rsidR="009D2E68" w:rsidRPr="009D2E68" w:rsidRDefault="009D2E68" w:rsidP="009D2E68">
      <w:pPr>
        <w:spacing w:after="15" w:line="267" w:lineRule="auto"/>
        <w:ind w:left="24" w:right="53" w:hanging="10"/>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Η ανάδοχος εταιρεία θα πρέπει: </w:t>
      </w:r>
    </w:p>
    <w:p w:rsidR="009D2E68" w:rsidRPr="009D2E68" w:rsidRDefault="009D2E68" w:rsidP="009D2E68">
      <w:pPr>
        <w:numPr>
          <w:ilvl w:val="1"/>
          <w:numId w:val="43"/>
        </w:numPr>
        <w:spacing w:after="15" w:line="267" w:lineRule="auto"/>
        <w:ind w:left="1161" w:right="53" w:hanging="566"/>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Κατά την διάρκεια της συντήρησης </w:t>
      </w:r>
      <w:r w:rsidR="00140FBB">
        <w:rPr>
          <w:rFonts w:asciiTheme="majorHAnsi" w:eastAsia="Times New Roman" w:hAnsiTheme="majorHAnsi" w:cs="Times New Roman"/>
          <w:color w:val="000000"/>
          <w:sz w:val="24"/>
          <w:lang w:eastAsia="el-GR"/>
        </w:rPr>
        <w:t>ν</w:t>
      </w:r>
      <w:r w:rsidRPr="009D2E68">
        <w:rPr>
          <w:rFonts w:asciiTheme="majorHAnsi" w:eastAsia="Times New Roman" w:hAnsiTheme="majorHAnsi" w:cs="Times New Roman"/>
          <w:color w:val="000000"/>
          <w:sz w:val="24"/>
          <w:lang w:eastAsia="el-GR"/>
        </w:rPr>
        <w:t xml:space="preserve">α αντικαθιστά τους πυροσβεστήρες που θα παίρνει για έλεγχο/συντήρηση με δικούς της αντίστοιχης </w:t>
      </w:r>
      <w:r w:rsidR="006A770D" w:rsidRPr="009D2E68">
        <w:rPr>
          <w:rFonts w:asciiTheme="majorHAnsi" w:eastAsia="Times New Roman" w:hAnsiTheme="majorHAnsi" w:cs="Times New Roman"/>
          <w:color w:val="000000"/>
          <w:sz w:val="24"/>
          <w:lang w:eastAsia="el-GR"/>
        </w:rPr>
        <w:t>καταλληλόλητας</w:t>
      </w:r>
      <w:r w:rsidRPr="009D2E68">
        <w:rPr>
          <w:rFonts w:asciiTheme="majorHAnsi" w:eastAsia="Times New Roman" w:hAnsiTheme="majorHAnsi" w:cs="Times New Roman"/>
          <w:color w:val="000000"/>
          <w:sz w:val="24"/>
          <w:lang w:eastAsia="el-GR"/>
        </w:rPr>
        <w:t xml:space="preserve"> για όσο διάστημα διαρκεί η εργασία. </w:t>
      </w:r>
    </w:p>
    <w:p w:rsidR="009D2E68" w:rsidRPr="009D2E68" w:rsidRDefault="009D2E68" w:rsidP="009D2E68">
      <w:pPr>
        <w:numPr>
          <w:ilvl w:val="1"/>
          <w:numId w:val="43"/>
        </w:numPr>
        <w:spacing w:after="15" w:line="267" w:lineRule="auto"/>
        <w:ind w:left="1161" w:right="53" w:hanging="566"/>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Θα παραλαμβάνει και θα τοποθετεί τους πυροσβεστήρες όπως υποδεικνύεται από την Επιτροπή Παρακολούθησης και Παραλαβής. </w:t>
      </w:r>
    </w:p>
    <w:p w:rsidR="009D2E68" w:rsidRPr="009D2E68" w:rsidRDefault="009D2E68" w:rsidP="009D2E68">
      <w:pPr>
        <w:numPr>
          <w:ilvl w:val="1"/>
          <w:numId w:val="43"/>
        </w:numPr>
        <w:spacing w:after="15" w:line="267" w:lineRule="auto"/>
        <w:ind w:left="1161" w:right="53" w:hanging="566"/>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Κάθε φορά που θα παραλαμβάνει τους πυροσβεστήρες για συντήρηση θα προσκομίζει στην αρμόδια επιτροπή δελτίο ποσοτικής παραλαβής στο οποίο θα αναγράφεται ο τύπος των πυροσβεστήρων και ο αριθμός τους ανά κτίριο. </w:t>
      </w:r>
    </w:p>
    <w:p w:rsidR="009D2E68" w:rsidRPr="009D2E68" w:rsidRDefault="009D2E68" w:rsidP="009D2E68">
      <w:pPr>
        <w:numPr>
          <w:ilvl w:val="1"/>
          <w:numId w:val="43"/>
        </w:numPr>
        <w:spacing w:after="15" w:line="267" w:lineRule="auto"/>
        <w:ind w:left="1161" w:right="53" w:hanging="566"/>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Σε περίπτωση κατά την οποία διαπιστωθεί μετά την ενέργεια των εργασιών συντήρησης κάποιος πυροσβεστήρας έχει τεθεί εκτός ενεργείας λόγω διαρροής υποχρεούται να τον επισκευάσει άμεσα χωρίς επιπλέον χρέωση.  </w:t>
      </w:r>
    </w:p>
    <w:p w:rsidR="002B5B18" w:rsidRDefault="009D2E68" w:rsidP="002348FA">
      <w:pPr>
        <w:numPr>
          <w:ilvl w:val="1"/>
          <w:numId w:val="43"/>
        </w:numPr>
        <w:spacing w:after="15" w:line="267" w:lineRule="auto"/>
        <w:ind w:left="1161" w:right="53" w:hanging="566"/>
        <w:jc w:val="both"/>
        <w:rPr>
          <w:rFonts w:asciiTheme="majorHAnsi" w:eastAsia="Times New Roman" w:hAnsiTheme="majorHAnsi" w:cs="Times New Roman"/>
          <w:color w:val="000000"/>
          <w:sz w:val="24"/>
          <w:lang w:eastAsia="el-GR"/>
        </w:rPr>
      </w:pPr>
      <w:r w:rsidRPr="002B5B18">
        <w:rPr>
          <w:rFonts w:asciiTheme="majorHAnsi" w:eastAsia="Times New Roman" w:hAnsiTheme="majorHAnsi" w:cs="Times New Roman"/>
          <w:color w:val="000000"/>
          <w:sz w:val="24"/>
          <w:lang w:eastAsia="el-GR"/>
        </w:rPr>
        <w:t xml:space="preserve">Πυροσβεστήρες που χρησιμοποιήθηκαν θα αναγομώνονται το ταχύτερο δυνατό και το αργότερο εντός 5 ημερολογιακών ημερών, μετά από ειδοποίηση του αναδόχου από την οικεία επιτροπή </w:t>
      </w:r>
      <w:r w:rsidR="002B5B18" w:rsidRPr="002B5B18">
        <w:rPr>
          <w:rFonts w:asciiTheme="majorHAnsi" w:eastAsia="Times New Roman" w:hAnsiTheme="majorHAnsi" w:cs="Times New Roman"/>
          <w:color w:val="000000"/>
          <w:sz w:val="24"/>
          <w:lang w:eastAsia="el-GR"/>
        </w:rPr>
        <w:t>και θα τιμολογούνται ξεχωριστά. Επίσης, σε περίπτωση που κατά τον έλεγχο διαπιστωθεί ότι μερικοί πυροσβεστήρες χρειάζονται αναγόμωση (π.χ. αν έχει στερεοποιηθεί η σκόνη), αυτή θα τιμολογείται ξεχωριστά.</w:t>
      </w:r>
    </w:p>
    <w:p w:rsidR="009D2E68" w:rsidRPr="002B5B18" w:rsidRDefault="009D2E68" w:rsidP="002348FA">
      <w:pPr>
        <w:numPr>
          <w:ilvl w:val="1"/>
          <w:numId w:val="43"/>
        </w:numPr>
        <w:spacing w:after="15" w:line="267" w:lineRule="auto"/>
        <w:ind w:left="1161" w:right="53" w:hanging="566"/>
        <w:jc w:val="both"/>
        <w:rPr>
          <w:rFonts w:asciiTheme="majorHAnsi" w:eastAsia="Times New Roman" w:hAnsiTheme="majorHAnsi" w:cs="Times New Roman"/>
          <w:color w:val="000000"/>
          <w:sz w:val="24"/>
          <w:lang w:eastAsia="el-GR"/>
        </w:rPr>
      </w:pPr>
      <w:r w:rsidRPr="002B5B18">
        <w:rPr>
          <w:rFonts w:asciiTheme="majorHAnsi" w:eastAsia="Times New Roman" w:hAnsiTheme="majorHAnsi" w:cs="Times New Roman"/>
          <w:color w:val="000000"/>
          <w:sz w:val="24"/>
          <w:lang w:eastAsia="el-GR"/>
        </w:rPr>
        <w:t xml:space="preserve">Αν απαιτηθεί από την οικεία επιτροπή, ο ανάδοχος θα προσκομίσει όλες τις βεβαιώσεις, υπεύθυνες δηλώσεις και τα σχετικά παραστατικά που απαιτούνται από την Πυροσβεστική Υπηρεσία για οποιαδήποτε χρήση </w:t>
      </w:r>
      <w:r w:rsidRPr="002B5B18">
        <w:rPr>
          <w:rFonts w:asciiTheme="majorHAnsi" w:eastAsia="Times New Roman" w:hAnsiTheme="majorHAnsi" w:cs="Times New Roman"/>
          <w:color w:val="000000"/>
          <w:sz w:val="24"/>
          <w:lang w:eastAsia="el-GR"/>
        </w:rPr>
        <w:lastRenderedPageBreak/>
        <w:t xml:space="preserve">(π.χ. έκδοση ή ανανέωση πιστοποιητικού πυροπροστασίας κτηρίου </w:t>
      </w:r>
      <w:r w:rsidR="006A770D" w:rsidRPr="002B5B18">
        <w:rPr>
          <w:rFonts w:asciiTheme="majorHAnsi" w:eastAsia="Times New Roman" w:hAnsiTheme="majorHAnsi" w:cs="Times New Roman"/>
          <w:color w:val="000000"/>
          <w:sz w:val="24"/>
          <w:lang w:eastAsia="el-GR"/>
        </w:rPr>
        <w:t>κ.λπ.</w:t>
      </w:r>
      <w:r w:rsidRPr="002B5B18">
        <w:rPr>
          <w:rFonts w:asciiTheme="majorHAnsi" w:eastAsia="Times New Roman" w:hAnsiTheme="majorHAnsi" w:cs="Times New Roman"/>
          <w:color w:val="000000"/>
          <w:sz w:val="24"/>
          <w:lang w:eastAsia="el-GR"/>
        </w:rPr>
        <w:t xml:space="preserve">) </w:t>
      </w:r>
    </w:p>
    <w:p w:rsidR="009D2E68" w:rsidRDefault="009D2E68" w:rsidP="009D2E68">
      <w:pPr>
        <w:numPr>
          <w:ilvl w:val="1"/>
          <w:numId w:val="43"/>
        </w:numPr>
        <w:spacing w:after="15" w:line="267" w:lineRule="auto"/>
        <w:ind w:left="1161" w:right="53" w:hanging="566"/>
        <w:jc w:val="both"/>
        <w:rPr>
          <w:rFonts w:asciiTheme="majorHAnsi" w:eastAsia="Times New Roman" w:hAnsiTheme="majorHAnsi" w:cs="Times New Roman"/>
          <w:color w:val="000000"/>
          <w:sz w:val="24"/>
          <w:lang w:eastAsia="el-GR"/>
        </w:rPr>
      </w:pPr>
      <w:r w:rsidRPr="009D2E68">
        <w:rPr>
          <w:rFonts w:asciiTheme="majorHAnsi" w:eastAsia="Times New Roman" w:hAnsiTheme="majorHAnsi" w:cs="Times New Roman"/>
          <w:color w:val="000000"/>
          <w:sz w:val="24"/>
          <w:lang w:eastAsia="el-GR"/>
        </w:rPr>
        <w:t xml:space="preserve">Θα σφραγίζει και θα υπογράφει όλα τα βιβλία ελέγχου και συντήρησης μέσων ενεργητικής πυροπροστασίας.  </w:t>
      </w:r>
    </w:p>
    <w:p w:rsidR="00955389" w:rsidRDefault="00955389" w:rsidP="00955389">
      <w:pPr>
        <w:spacing w:after="15" w:line="267" w:lineRule="auto"/>
        <w:ind w:left="1161" w:right="53"/>
        <w:jc w:val="both"/>
        <w:rPr>
          <w:rFonts w:asciiTheme="majorHAnsi" w:eastAsia="Times New Roman" w:hAnsiTheme="majorHAnsi" w:cs="Times New Roman"/>
          <w:color w:val="000000"/>
          <w:sz w:val="24"/>
          <w:lang w:eastAsia="el-GR"/>
        </w:rPr>
      </w:pPr>
    </w:p>
    <w:p w:rsidR="002B6899" w:rsidRPr="002B6899" w:rsidRDefault="002B6899" w:rsidP="002B6899">
      <w:pPr>
        <w:keepNext/>
        <w:keepLines/>
        <w:spacing w:after="0"/>
        <w:ind w:left="24" w:hanging="10"/>
        <w:outlineLvl w:val="0"/>
        <w:rPr>
          <w:rFonts w:ascii="Times New Roman" w:eastAsia="Times New Roman" w:hAnsi="Times New Roman" w:cs="Times New Roman"/>
          <w:b/>
          <w:color w:val="000000"/>
          <w:sz w:val="24"/>
          <w:lang w:eastAsia="el-GR"/>
        </w:rPr>
      </w:pPr>
      <w:r>
        <w:rPr>
          <w:rFonts w:ascii="Times New Roman" w:eastAsia="Times New Roman" w:hAnsi="Times New Roman" w:cs="Times New Roman"/>
          <w:b/>
          <w:color w:val="000000"/>
          <w:sz w:val="24"/>
          <w:lang w:eastAsia="el-GR"/>
        </w:rPr>
        <w:t>Ειδικοί</w:t>
      </w:r>
      <w:r w:rsidRPr="002B6899">
        <w:rPr>
          <w:rFonts w:ascii="Times New Roman" w:eastAsia="Times New Roman" w:hAnsi="Times New Roman" w:cs="Times New Roman"/>
          <w:b/>
          <w:color w:val="000000"/>
          <w:sz w:val="24"/>
          <w:lang w:eastAsia="el-GR"/>
        </w:rPr>
        <w:t xml:space="preserve"> όροι</w:t>
      </w:r>
    </w:p>
    <w:p w:rsidR="002B6899" w:rsidRPr="002B6899" w:rsidRDefault="002B6899" w:rsidP="002B6899">
      <w:pPr>
        <w:spacing w:after="20"/>
        <w:ind w:left="29"/>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b/>
          <w:color w:val="000000"/>
          <w:sz w:val="24"/>
          <w:lang w:eastAsia="el-GR"/>
        </w:rPr>
        <w:t xml:space="preserve"> </w:t>
      </w:r>
    </w:p>
    <w:p w:rsidR="002B6899" w:rsidRPr="002B6899" w:rsidRDefault="002B6899" w:rsidP="002B6899">
      <w:pPr>
        <w:numPr>
          <w:ilvl w:val="0"/>
          <w:numId w:val="48"/>
        </w:numPr>
        <w:spacing w:after="15" w:line="267" w:lineRule="auto"/>
        <w:ind w:right="53" w:hanging="312"/>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Όλοι οι ενδιαφερόμενοι μπορούν να επισκεφτούν τους χώρους της Βουλής των Ελλήνων προκειμένου να γνωρίσουν όλες τις επιτόπου συνθήκες. </w:t>
      </w:r>
    </w:p>
    <w:p w:rsidR="002B6899" w:rsidRPr="002B6899" w:rsidRDefault="002B6899" w:rsidP="002B6899">
      <w:pPr>
        <w:numPr>
          <w:ilvl w:val="0"/>
          <w:numId w:val="48"/>
        </w:numPr>
        <w:spacing w:after="15" w:line="267" w:lineRule="auto"/>
        <w:ind w:right="53" w:hanging="312"/>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Για λόγους ασφαλείας ο ανάδοχος υποχρεούται να ενημερώνει την αρμόδια Διεύθυνση της Βουλής σχετικά με τα ονοματεπώνυμα και τους αριθμούς ταυτότητας των προσώπων (προσωπικού, συνεργατών, βοηθών </w:t>
      </w:r>
      <w:r w:rsidR="006A770D" w:rsidRPr="002B6899">
        <w:rPr>
          <w:rFonts w:ascii="Times New Roman" w:eastAsia="Times New Roman" w:hAnsi="Times New Roman" w:cs="Times New Roman"/>
          <w:color w:val="000000"/>
          <w:sz w:val="24"/>
          <w:lang w:eastAsia="el-GR"/>
        </w:rPr>
        <w:t>κ.λπ.</w:t>
      </w:r>
      <w:r w:rsidRPr="002B6899">
        <w:rPr>
          <w:rFonts w:ascii="Times New Roman" w:eastAsia="Times New Roman" w:hAnsi="Times New Roman" w:cs="Times New Roman"/>
          <w:color w:val="000000"/>
          <w:sz w:val="24"/>
          <w:lang w:eastAsia="el-GR"/>
        </w:rPr>
        <w:t xml:space="preserve">) που θα χρησιμοποιήσει κατά την εκτέλεση των εργασιών, ώστε να εκδοθούν οι απαιτούμενες άδειες εισόδου. </w:t>
      </w:r>
    </w:p>
    <w:p w:rsidR="002B6899" w:rsidRPr="002B6899" w:rsidRDefault="002B6899" w:rsidP="002B6899">
      <w:pPr>
        <w:numPr>
          <w:ilvl w:val="0"/>
          <w:numId w:val="48"/>
        </w:numPr>
        <w:spacing w:after="15" w:line="267" w:lineRule="auto"/>
        <w:ind w:right="53" w:hanging="312"/>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Η Βουλή έχει το δικαίωμα να απαιτεί οποτεδήποτε από τον ανάδοχο, την αντικατάσταση οποιουδήποτε προσώπου από τα προαναφερόμενα θεωρεί κατά την κρίση της ως ακατάλληλο. </w:t>
      </w:r>
    </w:p>
    <w:p w:rsidR="002B6899" w:rsidRPr="002B6899" w:rsidRDefault="002B6899" w:rsidP="002B6899">
      <w:pPr>
        <w:numPr>
          <w:ilvl w:val="0"/>
          <w:numId w:val="48"/>
        </w:numPr>
        <w:spacing w:after="15" w:line="267" w:lineRule="auto"/>
        <w:ind w:right="53" w:hanging="312"/>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Οι εταιρείες που θα καταθέσουν προσφορές θα πρέπει  επί ποινή αποκλεισμού και βάσει της κείμενης νομοθεσίας να διαθέτουν τα εξής χαρακτηριστικά- πιστοποιητικά: </w:t>
      </w:r>
    </w:p>
    <w:p w:rsidR="002B6899" w:rsidRPr="002B6899" w:rsidRDefault="002B6899" w:rsidP="002B6899">
      <w:pPr>
        <w:numPr>
          <w:ilvl w:val="1"/>
          <w:numId w:val="48"/>
        </w:numPr>
        <w:spacing w:after="15" w:line="267" w:lineRule="auto"/>
        <w:ind w:right="53" w:hanging="569"/>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Πιστοποιητικό έγκρισης κανονισμού λειτουργίας αναγνωρισμένης εταιρείας «Περιοδικού ελέγχου, συντήρησης και αναγόμωσης πυροσβεστήρων χαμηλής και υψηλής πίεσης» από επίσημο αναγνωρισμένο φορέα </w:t>
      </w:r>
    </w:p>
    <w:p w:rsidR="002B6899" w:rsidRPr="002B6899" w:rsidRDefault="002B6899" w:rsidP="002B6899">
      <w:pPr>
        <w:numPr>
          <w:ilvl w:val="1"/>
          <w:numId w:val="48"/>
        </w:numPr>
        <w:spacing w:after="15" w:line="267" w:lineRule="auto"/>
        <w:ind w:right="53" w:hanging="569"/>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Άδεια λειτουργίας-εγκατάστασης εργαστηρίου αναγόμωσης πυροσβεστήρων από την αρμόδια Υπηρεσία Περιφερειακής </w:t>
      </w:r>
    </w:p>
    <w:p w:rsidR="002B6899" w:rsidRPr="002B6899" w:rsidRDefault="002B6899" w:rsidP="002B6899">
      <w:pPr>
        <w:spacing w:after="35" w:line="267" w:lineRule="auto"/>
        <w:ind w:left="1316" w:right="53" w:hanging="10"/>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Αυτοδιοίκησης που εδρεύει η εταιρεία. </w:t>
      </w:r>
    </w:p>
    <w:p w:rsidR="002B6899" w:rsidRPr="002B6899" w:rsidRDefault="002B6899" w:rsidP="002B6899">
      <w:pPr>
        <w:numPr>
          <w:ilvl w:val="1"/>
          <w:numId w:val="48"/>
        </w:numPr>
        <w:spacing w:after="15" w:line="267" w:lineRule="auto"/>
        <w:ind w:right="53" w:hanging="569"/>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Πιστοποιητικό επάρκειας αρμόδιου ατόμου που θα διενεργεί τις προβλεπόμενες εργασίες. </w:t>
      </w:r>
    </w:p>
    <w:p w:rsidR="002B6899" w:rsidRPr="002B6899" w:rsidRDefault="002B6899" w:rsidP="002B6899">
      <w:pPr>
        <w:numPr>
          <w:ilvl w:val="1"/>
          <w:numId w:val="48"/>
        </w:numPr>
        <w:spacing w:after="15" w:line="267" w:lineRule="auto"/>
        <w:ind w:right="53" w:hanging="569"/>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Πιστοποιητικό ΕΛΟΤ ΕΝ ISO 9001:2000 ή μεγαλύτερο. </w:t>
      </w:r>
    </w:p>
    <w:p w:rsidR="002B6899" w:rsidRDefault="002B6899" w:rsidP="002B6899">
      <w:pPr>
        <w:numPr>
          <w:ilvl w:val="0"/>
          <w:numId w:val="48"/>
        </w:numPr>
        <w:spacing w:after="15" w:line="267" w:lineRule="auto"/>
        <w:ind w:right="53" w:hanging="312"/>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Για την εκτέλεση όλων των παραπάνω περιγραφόμενων εργασιών, θα προσφερθούν ξεχωριστά 3 τιμές για κάθε είδος πυροσβεστήρα: </w:t>
      </w:r>
    </w:p>
    <w:p w:rsidR="002B6899" w:rsidRDefault="002B6899" w:rsidP="002B6899">
      <w:pPr>
        <w:spacing w:after="15" w:line="267" w:lineRule="auto"/>
        <w:ind w:left="326" w:right="53"/>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 xml:space="preserve">(α) για συντήρηση, </w:t>
      </w:r>
    </w:p>
    <w:p w:rsidR="002B6899" w:rsidRDefault="002B6899" w:rsidP="002B6899">
      <w:pPr>
        <w:spacing w:after="15" w:line="267" w:lineRule="auto"/>
        <w:ind w:left="326" w:right="53"/>
        <w:jc w:val="both"/>
        <w:rPr>
          <w:rFonts w:ascii="Times New Roman" w:eastAsia="Times New Roman" w:hAnsi="Times New Roman" w:cs="Times New Roman"/>
          <w:color w:val="000000"/>
          <w:sz w:val="24"/>
          <w:lang w:eastAsia="el-GR"/>
        </w:rPr>
      </w:pPr>
      <w:r w:rsidRPr="002B6899">
        <w:rPr>
          <w:rFonts w:ascii="Times New Roman" w:eastAsia="Times New Roman" w:hAnsi="Times New Roman" w:cs="Times New Roman"/>
          <w:color w:val="000000"/>
          <w:sz w:val="24"/>
          <w:lang w:eastAsia="el-GR"/>
        </w:rPr>
        <w:t>(β) για υδραυλική δοκιμή</w:t>
      </w:r>
      <w:r>
        <w:rPr>
          <w:rFonts w:ascii="Times New Roman" w:eastAsia="Times New Roman" w:hAnsi="Times New Roman" w:cs="Times New Roman"/>
          <w:color w:val="000000"/>
          <w:sz w:val="24"/>
          <w:lang w:eastAsia="el-GR"/>
        </w:rPr>
        <w:t>,</w:t>
      </w:r>
      <w:r w:rsidRPr="002B6899">
        <w:rPr>
          <w:rFonts w:ascii="Times New Roman" w:eastAsia="Times New Roman" w:hAnsi="Times New Roman" w:cs="Times New Roman"/>
          <w:color w:val="000000"/>
          <w:sz w:val="24"/>
          <w:lang w:eastAsia="el-GR"/>
        </w:rPr>
        <w:t xml:space="preserve"> και </w:t>
      </w:r>
    </w:p>
    <w:p w:rsidR="009D2E68" w:rsidRPr="009D2E68" w:rsidRDefault="002B6899" w:rsidP="00B63CD9">
      <w:pPr>
        <w:spacing w:after="15" w:line="267" w:lineRule="auto"/>
        <w:ind w:left="326" w:right="53"/>
        <w:jc w:val="both"/>
      </w:pPr>
      <w:r w:rsidRPr="002B6899">
        <w:rPr>
          <w:rFonts w:ascii="Times New Roman" w:eastAsia="Times New Roman" w:hAnsi="Times New Roman" w:cs="Times New Roman"/>
          <w:color w:val="000000"/>
          <w:sz w:val="24"/>
          <w:lang w:eastAsia="el-GR"/>
        </w:rPr>
        <w:t xml:space="preserve">(γ) για αναγόμωση και ένα τίμημα ξεχωριστά για τον οπτικό έλεγχο συνολικά για όλους τους πυροσβεστήρες. </w:t>
      </w:r>
    </w:p>
    <w:sectPr w:rsidR="009D2E68" w:rsidRPr="009D2E68" w:rsidSect="00F73BE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93" w:rsidRDefault="00665893" w:rsidP="008C31B0">
      <w:pPr>
        <w:spacing w:after="0" w:line="240" w:lineRule="auto"/>
      </w:pPr>
      <w:r>
        <w:separator/>
      </w:r>
    </w:p>
  </w:endnote>
  <w:endnote w:type="continuationSeparator" w:id="0">
    <w:p w:rsidR="00665893" w:rsidRDefault="00665893" w:rsidP="008C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A1"/>
    <w:family w:val="auto"/>
    <w:pitch w:val="default"/>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E72151" w:rsidRDefault="00FC12CF">
        <w:pPr>
          <w:pStyle w:val="a4"/>
          <w:jc w:val="right"/>
        </w:pPr>
        <w:r>
          <w:rPr>
            <w:noProof/>
          </w:rPr>
          <w:fldChar w:fldCharType="begin"/>
        </w:r>
        <w:r w:rsidR="00E72151">
          <w:rPr>
            <w:noProof/>
          </w:rPr>
          <w:instrText>PAGE   \* MERGEFORMAT</w:instrText>
        </w:r>
        <w:r>
          <w:rPr>
            <w:noProof/>
          </w:rPr>
          <w:fldChar w:fldCharType="separate"/>
        </w:r>
        <w:r w:rsidR="006A770D">
          <w:rPr>
            <w:noProof/>
          </w:rPr>
          <w:t>3</w:t>
        </w:r>
        <w:r>
          <w:rPr>
            <w:noProof/>
          </w:rPr>
          <w:fldChar w:fldCharType="end"/>
        </w:r>
      </w:p>
    </w:sdtContent>
  </w:sdt>
  <w:p w:rsidR="00E72151" w:rsidRDefault="00E721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93" w:rsidRDefault="00665893" w:rsidP="008C31B0">
      <w:pPr>
        <w:spacing w:after="0" w:line="240" w:lineRule="auto"/>
      </w:pPr>
      <w:r>
        <w:separator/>
      </w:r>
    </w:p>
  </w:footnote>
  <w:footnote w:type="continuationSeparator" w:id="0">
    <w:p w:rsidR="00665893" w:rsidRDefault="00665893" w:rsidP="008C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731729"/>
    <w:multiLevelType w:val="hybridMultilevel"/>
    <w:tmpl w:val="5184CF04"/>
    <w:lvl w:ilvl="0" w:tplc="8866167A">
      <w:start w:val="1"/>
      <w:numFmt w:val="decimal"/>
      <w:lvlText w:val="%1."/>
      <w:lvlJc w:val="left"/>
      <w:pPr>
        <w:ind w:left="3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CB4B162">
      <w:start w:val="1"/>
      <w:numFmt w:val="bullet"/>
      <w:lvlText w:val="•"/>
      <w:lvlJc w:val="left"/>
      <w:pPr>
        <w:ind w:left="13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EDE94A4">
      <w:start w:val="1"/>
      <w:numFmt w:val="bullet"/>
      <w:lvlText w:val="▪"/>
      <w:lvlJc w:val="left"/>
      <w:pPr>
        <w:ind w:left="18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7021784">
      <w:start w:val="1"/>
      <w:numFmt w:val="bullet"/>
      <w:lvlText w:val="•"/>
      <w:lvlJc w:val="left"/>
      <w:pPr>
        <w:ind w:left="25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0D8BF58">
      <w:start w:val="1"/>
      <w:numFmt w:val="bullet"/>
      <w:lvlText w:val="o"/>
      <w:lvlJc w:val="left"/>
      <w:pPr>
        <w:ind w:left="32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1AAAD7A">
      <w:start w:val="1"/>
      <w:numFmt w:val="bullet"/>
      <w:lvlText w:val="▪"/>
      <w:lvlJc w:val="left"/>
      <w:pPr>
        <w:ind w:left="39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BFED4C6">
      <w:start w:val="1"/>
      <w:numFmt w:val="bullet"/>
      <w:lvlText w:val="•"/>
      <w:lvlJc w:val="left"/>
      <w:pPr>
        <w:ind w:left="46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9368152">
      <w:start w:val="1"/>
      <w:numFmt w:val="bullet"/>
      <w:lvlText w:val="o"/>
      <w:lvlJc w:val="left"/>
      <w:pPr>
        <w:ind w:left="54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416A570">
      <w:start w:val="1"/>
      <w:numFmt w:val="bullet"/>
      <w:lvlText w:val="▪"/>
      <w:lvlJc w:val="left"/>
      <w:pPr>
        <w:ind w:left="61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04E78"/>
    <w:multiLevelType w:val="hybridMultilevel"/>
    <w:tmpl w:val="47D4E0EE"/>
    <w:lvl w:ilvl="0" w:tplc="98EE5C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E4F410">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B688A0">
      <w:start w:val="1"/>
      <w:numFmt w:val="bullet"/>
      <w:lvlRestart w:val="0"/>
      <w:lvlText w:val="•"/>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FC000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241A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C010B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621D6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80934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6159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A307BD"/>
    <w:multiLevelType w:val="hybridMultilevel"/>
    <w:tmpl w:val="F9C227AA"/>
    <w:lvl w:ilvl="0" w:tplc="F4E45A38">
      <w:start w:val="16"/>
      <w:numFmt w:val="decimal"/>
      <w:lvlText w:val="%1."/>
      <w:lvlJc w:val="left"/>
      <w:pPr>
        <w:ind w:left="2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6CC641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102EBD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C529A5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21C69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242259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9984EC8">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B6CD506">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7C8422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3206552C"/>
    <w:multiLevelType w:val="hybridMultilevel"/>
    <w:tmpl w:val="7E6EA0FA"/>
    <w:lvl w:ilvl="0" w:tplc="4314B5F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404BEC">
      <w:start w:val="1"/>
      <w:numFmt w:val="bullet"/>
      <w:lvlText w:val="o"/>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0C6B6">
      <w:start w:val="1"/>
      <w:numFmt w:val="bullet"/>
      <w:lvlText w:val="▪"/>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AAEEA">
      <w:start w:val="1"/>
      <w:numFmt w:val="bullet"/>
      <w:lvlRestart w:val="0"/>
      <w:lvlText w:val="-"/>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2FFC">
      <w:start w:val="1"/>
      <w:numFmt w:val="bullet"/>
      <w:lvlText w:val="o"/>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98EE48">
      <w:start w:val="1"/>
      <w:numFmt w:val="bullet"/>
      <w:lvlText w:val="▪"/>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4C3EF6">
      <w:start w:val="1"/>
      <w:numFmt w:val="bullet"/>
      <w:lvlText w:val="•"/>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A68E0">
      <w:start w:val="1"/>
      <w:numFmt w:val="bullet"/>
      <w:lvlText w:val="o"/>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C4CB6">
      <w:start w:val="1"/>
      <w:numFmt w:val="bullet"/>
      <w:lvlText w:val="▪"/>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0A6811"/>
    <w:multiLevelType w:val="hybridMultilevel"/>
    <w:tmpl w:val="2282461E"/>
    <w:lvl w:ilvl="0" w:tplc="4AE6E414">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05B86">
      <w:start w:val="1"/>
      <w:numFmt w:val="decimal"/>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CF4B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2C7D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E3E9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E2C7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43AE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42CE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E3C7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8"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3"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5"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1"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4"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8"/>
  </w:num>
  <w:num w:numId="4">
    <w:abstractNumId w:val="33"/>
  </w:num>
  <w:num w:numId="5">
    <w:abstractNumId w:val="18"/>
  </w:num>
  <w:num w:numId="6">
    <w:abstractNumId w:val="7"/>
  </w:num>
  <w:num w:numId="7">
    <w:abstractNumId w:val="4"/>
  </w:num>
  <w:num w:numId="8">
    <w:abstractNumId w:val="10"/>
  </w:num>
  <w:num w:numId="9">
    <w:abstractNumId w:val="34"/>
  </w:num>
  <w:num w:numId="10">
    <w:abstractNumId w:val="35"/>
  </w:num>
  <w:num w:numId="11">
    <w:abstractNumId w:val="2"/>
  </w:num>
  <w:num w:numId="12">
    <w:abstractNumId w:val="36"/>
  </w:num>
  <w:num w:numId="13">
    <w:abstractNumId w:val="30"/>
  </w:num>
  <w:num w:numId="14">
    <w:abstractNumId w:val="45"/>
  </w:num>
  <w:num w:numId="15">
    <w:abstractNumId w:val="31"/>
  </w:num>
  <w:num w:numId="16">
    <w:abstractNumId w:val="38"/>
  </w:num>
  <w:num w:numId="17">
    <w:abstractNumId w:val="39"/>
  </w:num>
  <w:num w:numId="18">
    <w:abstractNumId w:val="11"/>
  </w:num>
  <w:num w:numId="19">
    <w:abstractNumId w:val="9"/>
  </w:num>
  <w:num w:numId="20">
    <w:abstractNumId w:val="44"/>
  </w:num>
  <w:num w:numId="21">
    <w:abstractNumId w:val="17"/>
  </w:num>
  <w:num w:numId="22">
    <w:abstractNumId w:val="26"/>
  </w:num>
  <w:num w:numId="23">
    <w:abstractNumId w:val="12"/>
  </w:num>
  <w:num w:numId="24">
    <w:abstractNumId w:val="13"/>
  </w:num>
  <w:num w:numId="25">
    <w:abstractNumId w:val="29"/>
  </w:num>
  <w:num w:numId="26">
    <w:abstractNumId w:val="1"/>
  </w:num>
  <w:num w:numId="27">
    <w:abstractNumId w:val="3"/>
  </w:num>
  <w:num w:numId="28">
    <w:abstractNumId w:val="46"/>
  </w:num>
  <w:num w:numId="29">
    <w:abstractNumId w:val="15"/>
  </w:num>
  <w:num w:numId="30">
    <w:abstractNumId w:val="42"/>
  </w:num>
  <w:num w:numId="31">
    <w:abstractNumId w:val="24"/>
  </w:num>
  <w:num w:numId="32">
    <w:abstractNumId w:val="28"/>
  </w:num>
  <w:num w:numId="33">
    <w:abstractNumId w:val="19"/>
  </w:num>
  <w:num w:numId="34">
    <w:abstractNumId w:val="41"/>
  </w:num>
  <w:num w:numId="35">
    <w:abstractNumId w:val="6"/>
  </w:num>
  <w:num w:numId="36">
    <w:abstractNumId w:val="37"/>
  </w:num>
  <w:num w:numId="37">
    <w:abstractNumId w:val="25"/>
  </w:num>
  <w:num w:numId="38">
    <w:abstractNumId w:val="40"/>
  </w:num>
  <w:num w:numId="39">
    <w:abstractNumId w:val="32"/>
  </w:num>
  <w:num w:numId="40">
    <w:abstractNumId w:val="27"/>
  </w:num>
  <w:num w:numId="41">
    <w:abstractNumId w:val="43"/>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1"/>
  </w:num>
  <w:num w:numId="45">
    <w:abstractNumId w:val="16"/>
  </w:num>
  <w:num w:numId="46">
    <w:abstractNumId w:val="14"/>
    <w:lvlOverride w:ilvl="0">
      <w:startOverride w:val="1"/>
    </w:lvlOverride>
    <w:lvlOverride w:ilvl="1"/>
    <w:lvlOverride w:ilvl="2"/>
    <w:lvlOverride w:ilvl="3"/>
    <w:lvlOverride w:ilvl="4"/>
    <w:lvlOverride w:ilvl="5"/>
    <w:lvlOverride w:ilvl="6"/>
    <w:lvlOverride w:ilvl="7"/>
    <w:lvlOverride w:ilvl="8"/>
  </w:num>
  <w:num w:numId="4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76547B"/>
    <w:rsid w:val="00000229"/>
    <w:rsid w:val="00003569"/>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4CA9"/>
    <w:rsid w:val="00066AC8"/>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6553"/>
    <w:rsid w:val="000B6A00"/>
    <w:rsid w:val="000B76D1"/>
    <w:rsid w:val="000B7B22"/>
    <w:rsid w:val="000C0322"/>
    <w:rsid w:val="000C1E95"/>
    <w:rsid w:val="000C3ADD"/>
    <w:rsid w:val="000C4971"/>
    <w:rsid w:val="000D04CE"/>
    <w:rsid w:val="000D06FD"/>
    <w:rsid w:val="000D0EF6"/>
    <w:rsid w:val="000D34ED"/>
    <w:rsid w:val="000D3BA4"/>
    <w:rsid w:val="000D4062"/>
    <w:rsid w:val="000D4C32"/>
    <w:rsid w:val="000D651E"/>
    <w:rsid w:val="000D7156"/>
    <w:rsid w:val="000E1D74"/>
    <w:rsid w:val="000E27CF"/>
    <w:rsid w:val="000E2E4A"/>
    <w:rsid w:val="000E4CF1"/>
    <w:rsid w:val="000E588F"/>
    <w:rsid w:val="000E72CD"/>
    <w:rsid w:val="000F0191"/>
    <w:rsid w:val="000F02C8"/>
    <w:rsid w:val="000F1050"/>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650A"/>
    <w:rsid w:val="00127BB6"/>
    <w:rsid w:val="00131D23"/>
    <w:rsid w:val="00131F44"/>
    <w:rsid w:val="00134656"/>
    <w:rsid w:val="0013623B"/>
    <w:rsid w:val="00137AE9"/>
    <w:rsid w:val="00140F5C"/>
    <w:rsid w:val="00140FBB"/>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EC9"/>
    <w:rsid w:val="00186693"/>
    <w:rsid w:val="00187B42"/>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AC4"/>
    <w:rsid w:val="00242DBD"/>
    <w:rsid w:val="00245C18"/>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B0D3B"/>
    <w:rsid w:val="002B153D"/>
    <w:rsid w:val="002B1BBE"/>
    <w:rsid w:val="002B3193"/>
    <w:rsid w:val="002B5B18"/>
    <w:rsid w:val="002B6899"/>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2E19"/>
    <w:rsid w:val="003335CA"/>
    <w:rsid w:val="00336162"/>
    <w:rsid w:val="0033631F"/>
    <w:rsid w:val="0033698B"/>
    <w:rsid w:val="003401D3"/>
    <w:rsid w:val="00341DC0"/>
    <w:rsid w:val="00342D33"/>
    <w:rsid w:val="003440D8"/>
    <w:rsid w:val="0034461B"/>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B66"/>
    <w:rsid w:val="00414919"/>
    <w:rsid w:val="00414BE9"/>
    <w:rsid w:val="00415769"/>
    <w:rsid w:val="00417122"/>
    <w:rsid w:val="0042144E"/>
    <w:rsid w:val="00421FC7"/>
    <w:rsid w:val="00422539"/>
    <w:rsid w:val="004227D2"/>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D21"/>
    <w:rsid w:val="004A6CB1"/>
    <w:rsid w:val="004B563E"/>
    <w:rsid w:val="004C055D"/>
    <w:rsid w:val="004C05A4"/>
    <w:rsid w:val="004C0C2D"/>
    <w:rsid w:val="004C4C17"/>
    <w:rsid w:val="004C5E00"/>
    <w:rsid w:val="004D279F"/>
    <w:rsid w:val="004D523C"/>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62D2"/>
    <w:rsid w:val="004F6730"/>
    <w:rsid w:val="004F76FC"/>
    <w:rsid w:val="00500F42"/>
    <w:rsid w:val="005012B4"/>
    <w:rsid w:val="005033A0"/>
    <w:rsid w:val="00503CEA"/>
    <w:rsid w:val="0050682C"/>
    <w:rsid w:val="005123FB"/>
    <w:rsid w:val="0051243E"/>
    <w:rsid w:val="00513475"/>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FFD"/>
    <w:rsid w:val="00540147"/>
    <w:rsid w:val="005401FA"/>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19D"/>
    <w:rsid w:val="005B6241"/>
    <w:rsid w:val="005B7CB5"/>
    <w:rsid w:val="005C00E3"/>
    <w:rsid w:val="005C0796"/>
    <w:rsid w:val="005C1E69"/>
    <w:rsid w:val="005C372E"/>
    <w:rsid w:val="005C38F7"/>
    <w:rsid w:val="005C4CCF"/>
    <w:rsid w:val="005C6B07"/>
    <w:rsid w:val="005D2CDF"/>
    <w:rsid w:val="005D2D3C"/>
    <w:rsid w:val="005D30DD"/>
    <w:rsid w:val="005D32B6"/>
    <w:rsid w:val="005D4257"/>
    <w:rsid w:val="005D6845"/>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EF5"/>
    <w:rsid w:val="00616F2F"/>
    <w:rsid w:val="00617E9E"/>
    <w:rsid w:val="00620CEA"/>
    <w:rsid w:val="0062102F"/>
    <w:rsid w:val="006221CA"/>
    <w:rsid w:val="006222F0"/>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893"/>
    <w:rsid w:val="006659D2"/>
    <w:rsid w:val="00667E80"/>
    <w:rsid w:val="006715DB"/>
    <w:rsid w:val="0067473C"/>
    <w:rsid w:val="0067628D"/>
    <w:rsid w:val="00676374"/>
    <w:rsid w:val="00676654"/>
    <w:rsid w:val="00680EFC"/>
    <w:rsid w:val="00681C89"/>
    <w:rsid w:val="0068499A"/>
    <w:rsid w:val="00685DC9"/>
    <w:rsid w:val="0069138B"/>
    <w:rsid w:val="00693C5E"/>
    <w:rsid w:val="00693D00"/>
    <w:rsid w:val="006949CD"/>
    <w:rsid w:val="00695F02"/>
    <w:rsid w:val="00697E0A"/>
    <w:rsid w:val="006A1D43"/>
    <w:rsid w:val="006A225A"/>
    <w:rsid w:val="006A2A02"/>
    <w:rsid w:val="006A40CC"/>
    <w:rsid w:val="006A4304"/>
    <w:rsid w:val="006A55A2"/>
    <w:rsid w:val="006A5F46"/>
    <w:rsid w:val="006A694A"/>
    <w:rsid w:val="006A6CBE"/>
    <w:rsid w:val="006A770D"/>
    <w:rsid w:val="006B0353"/>
    <w:rsid w:val="006B04B7"/>
    <w:rsid w:val="006B1062"/>
    <w:rsid w:val="006B18F9"/>
    <w:rsid w:val="006B27E1"/>
    <w:rsid w:val="006B350D"/>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E64"/>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EAE"/>
    <w:rsid w:val="00732AA3"/>
    <w:rsid w:val="00733762"/>
    <w:rsid w:val="00735DCC"/>
    <w:rsid w:val="007360DC"/>
    <w:rsid w:val="007370AC"/>
    <w:rsid w:val="00737269"/>
    <w:rsid w:val="007376F1"/>
    <w:rsid w:val="00737D67"/>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0631"/>
    <w:rsid w:val="007C1D45"/>
    <w:rsid w:val="007C2505"/>
    <w:rsid w:val="007C25FF"/>
    <w:rsid w:val="007C37CE"/>
    <w:rsid w:val="007C5A36"/>
    <w:rsid w:val="007D06BC"/>
    <w:rsid w:val="007D0E20"/>
    <w:rsid w:val="007D15C2"/>
    <w:rsid w:val="007D1CE5"/>
    <w:rsid w:val="007D272C"/>
    <w:rsid w:val="007D2B21"/>
    <w:rsid w:val="007D2F8C"/>
    <w:rsid w:val="007D31B1"/>
    <w:rsid w:val="007D35CE"/>
    <w:rsid w:val="007D40D4"/>
    <w:rsid w:val="007D59BE"/>
    <w:rsid w:val="007D5DE6"/>
    <w:rsid w:val="007D61F7"/>
    <w:rsid w:val="007E072D"/>
    <w:rsid w:val="007E2088"/>
    <w:rsid w:val="007E3888"/>
    <w:rsid w:val="007E3F3D"/>
    <w:rsid w:val="007E7A4B"/>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AA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D61"/>
    <w:rsid w:val="00955389"/>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A05C1"/>
    <w:rsid w:val="009A19F3"/>
    <w:rsid w:val="009A4E94"/>
    <w:rsid w:val="009A51F6"/>
    <w:rsid w:val="009A57A8"/>
    <w:rsid w:val="009A5B97"/>
    <w:rsid w:val="009A5F54"/>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2E68"/>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650E"/>
    <w:rsid w:val="00A175A0"/>
    <w:rsid w:val="00A21F4C"/>
    <w:rsid w:val="00A23578"/>
    <w:rsid w:val="00A23B76"/>
    <w:rsid w:val="00A23FDA"/>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42B6"/>
    <w:rsid w:val="00A46715"/>
    <w:rsid w:val="00A46BF4"/>
    <w:rsid w:val="00A47572"/>
    <w:rsid w:val="00A50FC7"/>
    <w:rsid w:val="00A5146E"/>
    <w:rsid w:val="00A51970"/>
    <w:rsid w:val="00A5383A"/>
    <w:rsid w:val="00A56EA6"/>
    <w:rsid w:val="00A5701B"/>
    <w:rsid w:val="00A578D5"/>
    <w:rsid w:val="00A60013"/>
    <w:rsid w:val="00A60A83"/>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3CD9"/>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8AC"/>
    <w:rsid w:val="00B87778"/>
    <w:rsid w:val="00B9133B"/>
    <w:rsid w:val="00B91A3C"/>
    <w:rsid w:val="00B92F2A"/>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627D"/>
    <w:rsid w:val="00C504AC"/>
    <w:rsid w:val="00C50740"/>
    <w:rsid w:val="00C50AB5"/>
    <w:rsid w:val="00C51ED5"/>
    <w:rsid w:val="00C527B4"/>
    <w:rsid w:val="00C52F6E"/>
    <w:rsid w:val="00C5307B"/>
    <w:rsid w:val="00C53BCB"/>
    <w:rsid w:val="00C5488C"/>
    <w:rsid w:val="00C5512E"/>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801E4"/>
    <w:rsid w:val="00C8033A"/>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97A"/>
    <w:rsid w:val="00D06B6F"/>
    <w:rsid w:val="00D07429"/>
    <w:rsid w:val="00D07C70"/>
    <w:rsid w:val="00D104E1"/>
    <w:rsid w:val="00D1256F"/>
    <w:rsid w:val="00D131FD"/>
    <w:rsid w:val="00D13FE9"/>
    <w:rsid w:val="00D140F9"/>
    <w:rsid w:val="00D144DD"/>
    <w:rsid w:val="00D16303"/>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25F2"/>
    <w:rsid w:val="00D92E58"/>
    <w:rsid w:val="00D93140"/>
    <w:rsid w:val="00D9406C"/>
    <w:rsid w:val="00D94E37"/>
    <w:rsid w:val="00D9518D"/>
    <w:rsid w:val="00D959C9"/>
    <w:rsid w:val="00D95F60"/>
    <w:rsid w:val="00D975B2"/>
    <w:rsid w:val="00D979A9"/>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6938"/>
    <w:rsid w:val="00DE7A63"/>
    <w:rsid w:val="00DF04E2"/>
    <w:rsid w:val="00DF27DA"/>
    <w:rsid w:val="00DF2BCA"/>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5936"/>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3CE"/>
    <w:rsid w:val="00E56E13"/>
    <w:rsid w:val="00E604AC"/>
    <w:rsid w:val="00E619C8"/>
    <w:rsid w:val="00E61F6D"/>
    <w:rsid w:val="00E628D2"/>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4913"/>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379F"/>
    <w:rsid w:val="00EC489C"/>
    <w:rsid w:val="00EC7C8E"/>
    <w:rsid w:val="00ED110C"/>
    <w:rsid w:val="00ED292D"/>
    <w:rsid w:val="00ED2C04"/>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5ADE"/>
    <w:rsid w:val="00F161C3"/>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40676"/>
    <w:rsid w:val="00F4121F"/>
    <w:rsid w:val="00F423E5"/>
    <w:rsid w:val="00F425A5"/>
    <w:rsid w:val="00F46BFA"/>
    <w:rsid w:val="00F52EEE"/>
    <w:rsid w:val="00F55902"/>
    <w:rsid w:val="00F55E47"/>
    <w:rsid w:val="00F56396"/>
    <w:rsid w:val="00F570A6"/>
    <w:rsid w:val="00F57937"/>
    <w:rsid w:val="00F60D4E"/>
    <w:rsid w:val="00F62284"/>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4CEA"/>
    <w:rsid w:val="00F950AA"/>
    <w:rsid w:val="00F95147"/>
    <w:rsid w:val="00F9530F"/>
    <w:rsid w:val="00F97E09"/>
    <w:rsid w:val="00FA00B4"/>
    <w:rsid w:val="00FA0357"/>
    <w:rsid w:val="00FA3B75"/>
    <w:rsid w:val="00FA4550"/>
    <w:rsid w:val="00FA461A"/>
    <w:rsid w:val="00FA7CB3"/>
    <w:rsid w:val="00FB107E"/>
    <w:rsid w:val="00FB2078"/>
    <w:rsid w:val="00FB2F4A"/>
    <w:rsid w:val="00FB3D0F"/>
    <w:rsid w:val="00FB4F2C"/>
    <w:rsid w:val="00FB5824"/>
    <w:rsid w:val="00FB75E1"/>
    <w:rsid w:val="00FC12CF"/>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19564-1ADE-4ACE-9597-529FB62A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 w:type="table" w:customStyle="1" w:styleId="TableGrid">
    <w:name w:val="TableGrid"/>
    <w:rsid w:val="009D2E68"/>
    <w:pPr>
      <w:spacing w:after="0" w:line="240" w:lineRule="auto"/>
    </w:pPr>
    <w:rPr>
      <w:rFonts w:eastAsiaTheme="minorEastAsia"/>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656228439">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gif@01D4ACFF.D49A31A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FB99-AA65-45A3-8293-CBEE45AC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1187</Words>
  <Characters>6416</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Παπαχριστοδούλου Αναστάσιος</cp:lastModifiedBy>
  <cp:revision>38</cp:revision>
  <cp:lastPrinted>2019-03-04T09:06:00Z</cp:lastPrinted>
  <dcterms:created xsi:type="dcterms:W3CDTF">2019-03-01T07:34:00Z</dcterms:created>
  <dcterms:modified xsi:type="dcterms:W3CDTF">2019-03-19T07:48:00Z</dcterms:modified>
</cp:coreProperties>
</file>